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5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66"/>
        <w:jc w:val="right"/>
        <w:keepLines/>
        <w:keepNext/>
        <w:rPr>
          <w:sz w:val="26"/>
          <w:szCs w:val="26"/>
        </w:rPr>
      </w:pPr>
      <w:r>
        <w:rPr>
          <w:sz w:val="26"/>
          <w:szCs w:val="26"/>
        </w:rPr>
        <w:t xml:space="preserve">Приложение 1 к документации о закупке</w:t>
      </w:r>
      <w:r>
        <w:rPr>
          <w:sz w:val="26"/>
          <w:szCs w:val="26"/>
        </w:rPr>
      </w:r>
    </w:p>
    <w:p>
      <w:pPr>
        <w:pStyle w:val="766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66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66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66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оказание услуг</w:t>
      </w:r>
      <w:r>
        <w:rPr>
          <w:rFonts w:eastAsia="Calibri"/>
          <w:b/>
        </w:rPr>
      </w:r>
    </w:p>
    <w:p>
      <w:pPr>
        <w:pStyle w:val="766"/>
        <w:jc w:val="center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766"/>
        <w:jc w:val="center"/>
        <w:rPr>
          <w:rFonts w:eastAsia="Calibri"/>
          <w:b/>
          <w:bCs/>
        </w:rPr>
      </w:pPr>
      <w:r>
        <w:rPr>
          <w:rFonts w:eastAsia="Calibri"/>
          <w:b/>
        </w:rPr>
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</w:r>
      <w:r>
        <w:rPr>
          <w:rFonts w:eastAsia="Calibri"/>
          <w:b/>
          <w:bCs/>
        </w:rPr>
      </w:r>
    </w:p>
    <w:p>
      <w:pPr>
        <w:pStyle w:val="766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766"/>
        <w:jc w:val="center"/>
        <w:rPr>
          <w:rFonts w:eastAsia="Calibri"/>
          <w:b/>
          <w:bCs/>
        </w:rPr>
      </w:pPr>
      <w:r>
        <w:rPr>
          <w:rFonts w:eastAsia="Calibri"/>
          <w:b/>
        </w:rPr>
        <w:t xml:space="preserve">Лот №  41027002-НИР ПРОД-2026-ДГК-АмТЭЦ1</w:t>
      </w:r>
      <w:r>
        <w:rPr>
          <w:rFonts w:eastAsia="Calibri"/>
          <w:b/>
          <w:bCs/>
        </w:rPr>
      </w:r>
    </w:p>
    <w:p>
      <w:pPr>
        <w:pStyle w:val="766"/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66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br w:type="page" w:clear="all"/>
      </w:r>
      <w:r>
        <w:rPr>
          <w:rFonts w:eastAsia="Calibri"/>
          <w:b/>
          <w:sz w:val="26"/>
          <w:szCs w:val="26"/>
        </w:rPr>
      </w:r>
    </w:p>
    <w:p>
      <w:pPr>
        <w:pStyle w:val="766"/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846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rPr>
              <w:rStyle w:val="821"/>
              <w:rFonts w:eastAsia="Times New Roman" w:cs="Times New Roman"/>
              <w:vanish w:val="0"/>
              <w:sz w:val="24"/>
              <w:szCs w:val="24"/>
            </w:rPr>
            <w:instrText xml:space="preserve"> TOC \z \o "1-4" \u \h</w:instrText>
          </w:r>
          <w:r>
            <w:rPr>
              <w:rStyle w:val="821"/>
              <w:rFonts w:eastAsia="Times New Roman" w:cs="Times New Roman"/>
              <w:vanish w:val="0"/>
              <w:sz w:val="24"/>
              <w:szCs w:val="24"/>
            </w:rPr>
            <w:fldChar w:fldCharType="separate"/>
          </w:r>
          <w:hyperlink w:tooltip="#_Toc54646395" w:anchor="_Toc54646395" w:history="1">
            <w:r>
              <w:rPr>
                <w:rStyle w:val="821"/>
                <w:rFonts w:eastAsia="Times New Roman" w:cs="Times New Roman"/>
                <w:vanish w:val="0"/>
                <w:sz w:val="24"/>
                <w:szCs w:val="24"/>
              </w:rPr>
              <w:t xml:space="preserve">1.</w:t>
            </w:r>
            <w:r>
              <w:rPr>
                <w:rStyle w:val="821"/>
                <w:rFonts w:eastAsia="Arial" w:cs="Times New Roman" w:eastAsiaTheme="minorEastAsia"/>
                <w:b w:val="0"/>
                <w:bCs w:val="0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_Toc54646395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 xml:space="preserve">Общие сведения</w:t>
              <w:tab/>
              <w:t xml:space="preserve">3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47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396" w:anchor="_Toc54646396" w:history="1">
            <w:r>
              <w:rPr>
                <w:rStyle w:val="821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1.1.</w:t>
            </w:r>
            <w:r>
              <w:rPr>
                <w:rStyle w:val="821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_Toc54646396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 xml:space="preserve">Обозначения и сокращения</w:t>
              <w:tab/>
              <w:t xml:space="preserve">3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47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397" w:anchor="_Toc54646397" w:history="1">
            <w:r>
              <w:rPr>
                <w:rStyle w:val="821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1.2.</w:t>
            </w:r>
            <w:r>
              <w:rPr>
                <w:rStyle w:val="821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_Toc54646397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 xml:space="preserve">Наименование закупаемой продукции</w:t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47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398" w:anchor="_Toc54646398" w:history="1">
            <w:r>
              <w:rPr>
                <w:rStyle w:val="821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1.3.</w:t>
            </w:r>
            <w:r>
              <w:rPr>
                <w:rStyle w:val="821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_Toc54646398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 xml:space="preserve">Цель выполнения работ </w:t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46"/>
            <w:ind w:firstLine="567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400" w:anchor="_Toc54646400" w:history="1">
            <w:r>
              <w:fldChar w:fldCharType="begin"/>
            </w:r>
            <w:r>
              <w:instrText xml:space="preserve">PAGEREF _Toc54646400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vanish w:val="0"/>
                <w:sz w:val="24"/>
                <w:szCs w:val="24"/>
              </w:rPr>
              <w:t xml:space="preserve">Таблица 1. Перечень объектов заказчика</w:t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766"/>
            <w:ind w:left="0" w:right="0"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eastAsia="Times New Roman" w:cs="Times New Roman"/>
              <w:sz w:val="24"/>
              <w:szCs w:val="24"/>
            </w:rPr>
            <w:t xml:space="preserve">1.4.</w:t>
            <w:tab/>
            <w:t xml:space="preserve">Информация в отношении исполнения договора, которая должна быть учтена при подготовке заявки  (в том числе перечень ресурсов, услуг и документов, предоставляемых заказчиком на этапе исполнения договора……………………………………………………   ……4</w:t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766"/>
            <w:ind w:left="0" w:right="0" w:firstLine="567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eastAsia="Times New Roman" w:cs="Times New Roman"/>
              <w:sz w:val="24"/>
              <w:szCs w:val="24"/>
            </w:rPr>
            <w:t xml:space="preserve">1.4.1 Заказчик предоставит подрядчику:                                                                                     4</w:t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46"/>
            <w:tabs>
              <w:tab w:val="left" w:pos="560" w:leader="none"/>
              <w:tab w:val="clear" w:pos="708" w:leader="none"/>
              <w:tab w:val="right" w:pos="978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03" w:anchor="_Toc54646403" w:history="1">
            <w:r>
              <w:rPr>
                <w:rStyle w:val="821"/>
                <w:rFonts w:eastAsia="Times New Roman" w:cs="Times New Roman"/>
                <w:vanish w:val="0"/>
                <w:sz w:val="24"/>
                <w:szCs w:val="24"/>
              </w:rPr>
              <w:t xml:space="preserve">2.</w:t>
            </w:r>
            <w:r>
              <w:rPr>
                <w:rStyle w:val="821"/>
                <w:rFonts w:eastAsia="Arial" w:cs="Times New Roman" w:eastAsiaTheme="minorEastAsia"/>
                <w:b w:val="0"/>
                <w:bCs w:val="0"/>
                <w:sz w:val="24"/>
                <w:szCs w:val="24"/>
              </w:rPr>
              <w:tab/>
            </w:r>
            <w:r>
              <w:rPr>
                <w:rStyle w:val="821"/>
                <w:rFonts w:eastAsia="Times New Roman" w:cs="Times New Roman"/>
                <w:iCs/>
                <w:sz w:val="24"/>
                <w:szCs w:val="24"/>
              </w:rPr>
              <w:t xml:space="preserve">Требования к продукции</w:t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ab/>
            </w:r>
          </w:hyperlink>
          <w:r>
            <w:rPr>
              <w:rFonts w:eastAsia="Times New Roman" w:cs="Times New Roman"/>
              <w:sz w:val="24"/>
              <w:szCs w:val="24"/>
            </w:rPr>
            <w:t xml:space="preserve">4</w:t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47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404" w:anchor="_Toc54646404" w:history="1">
            <w:r>
              <w:rPr>
                <w:rStyle w:val="821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2.1.</w:t>
            </w:r>
            <w:r>
              <w:rPr>
                <w:rStyle w:val="821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_Toc54646404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 xml:space="preserve">Требования к объемам и срокам выполнения работ</w:t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46"/>
            <w:ind w:firstLine="567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06" w:anchor="_Toc54646406" w:history="1">
            <w:r>
              <w:fldChar w:fldCharType="begin"/>
            </w:r>
            <w:r>
              <w:instrText xml:space="preserve">PAGEREF _Toc54646406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vanish w:val="0"/>
                <w:sz w:val="24"/>
                <w:szCs w:val="24"/>
              </w:rPr>
              <w:t xml:space="preserve">Таблица 2. Перечень и объем выполняемых работ</w:t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46"/>
            <w:ind w:firstLine="567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08" w:anchor="_Toc54646408" w:history="1">
            <w:r>
              <w:fldChar w:fldCharType="begin"/>
            </w:r>
            <w:r>
              <w:instrText xml:space="preserve">PAGEREF _Toc54646408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vanish w:val="0"/>
                <w:sz w:val="24"/>
                <w:szCs w:val="24"/>
              </w:rPr>
              <w:t xml:space="preserve">Таблица 3. Требования по срокам выполнения работ</w:t>
              <w:tab/>
              <w:t xml:space="preserve">5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47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409" w:anchor="_Toc54646409" w:history="1">
            <w:r>
              <w:rPr>
                <w:rStyle w:val="821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2.2.</w:t>
            </w:r>
            <w:r>
              <w:rPr>
                <w:rStyle w:val="821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_Toc54646409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 xml:space="preserve">Требования к качеству работ</w:t>
              <w:tab/>
              <w:t xml:space="preserve">6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46"/>
            <w:ind w:firstLine="567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10" w:anchor="_Toc54646410" w:history="1">
            <w:r>
              <w:fldChar w:fldCharType="begin"/>
            </w:r>
            <w:r>
              <w:instrText xml:space="preserve">PAGEREF _Toc54646410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vanish w:val="0"/>
                <w:sz w:val="24"/>
                <w:szCs w:val="24"/>
              </w:rPr>
              <w:t xml:space="preserve">Таблица 4. Требования к качеству работ</w:t>
              <w:tab/>
              <w:t xml:space="preserve">6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46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11" w:anchor="_Toc54646411" w:history="1">
            <w:r>
              <w:rPr>
                <w:rStyle w:val="821"/>
                <w:rFonts w:eastAsia="Times New Roman" w:cs="Times New Roman"/>
                <w:vanish w:val="0"/>
                <w:sz w:val="24"/>
                <w:szCs w:val="24"/>
              </w:rPr>
              <w:t xml:space="preserve">3.</w:t>
            </w:r>
            <w:r>
              <w:rPr>
                <w:rStyle w:val="821"/>
                <w:rFonts w:eastAsia="Arial" w:cs="Times New Roman" w:eastAsiaTheme="minorEastAsia"/>
                <w:b w:val="0"/>
                <w:bCs w:val="0"/>
                <w:sz w:val="24"/>
                <w:szCs w:val="24"/>
              </w:rPr>
              <w:tab/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 xml:space="preserve">Требования к документации по ценообразованию на этапе закупки</w:t>
              <w:tab/>
            </w:r>
          </w:hyperlink>
          <w:r>
            <w:rPr>
              <w:rFonts w:eastAsia="Arial" w:cs="Times New Roman" w:eastAsiaTheme="minorEastAsia"/>
              <w:b/>
              <w:bCs/>
              <w:sz w:val="24"/>
              <w:szCs w:val="24"/>
            </w:rPr>
            <w:t xml:space="preserve">20</w:t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46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12" w:anchor="_Toc54646412" w:history="1">
            <w:r>
              <w:rPr>
                <w:rStyle w:val="821"/>
                <w:rFonts w:eastAsia="Times New Roman" w:cs="Times New Roman"/>
                <w:vanish w:val="0"/>
                <w:sz w:val="24"/>
                <w:szCs w:val="24"/>
              </w:rPr>
              <w:t xml:space="preserve">4.</w:t>
            </w:r>
            <w:r>
              <w:rPr>
                <w:rStyle w:val="821"/>
                <w:rFonts w:eastAsia="Arial" w:cs="Times New Roman" w:eastAsiaTheme="minorEastAsia"/>
                <w:b w:val="0"/>
                <w:bCs w:val="0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_Toc54646412 \h</w:instrText>
            </w:r>
            <w:r>
              <w:fldChar w:fldCharType="separate"/>
            </w:r>
            <w:r>
              <w:rPr>
                <w:rStyle w:val="821"/>
                <w:rFonts w:eastAsia="Times New Roman" w:cs="Times New Roman"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  <w:tab/>
              <w:t xml:space="preserve">20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766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eastAsia="Times New Roman" w:cs="Times New Roman"/>
              <w:sz w:val="24"/>
              <w:szCs w:val="24"/>
            </w:rPr>
            <w:t xml:space="preserve">5.     </w:t>
          </w:r>
          <w:r>
            <w:rPr>
              <w:rFonts w:eastAsia="Times New Roman" w:cs="Times New Roman"/>
              <w:b/>
              <w:bCs/>
              <w:sz w:val="24"/>
              <w:szCs w:val="24"/>
            </w:rPr>
            <w:t xml:space="preserve"> Приложения ..........................................................................................................................     .20</w:t>
          </w:r>
          <w:r>
            <w:rPr>
              <w:rFonts w:eastAsia="Times New Roman" w:cs="Times New Roman"/>
              <w:b/>
              <w:bCs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</w:r>
        </w:p>
      </w:sdtContent>
    </w:sdt>
    <w:p>
      <w:pPr>
        <w:pStyle w:val="766"/>
        <w:jc w:val="center"/>
        <w:keepLines/>
        <w:keepNext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766"/>
        <w:spacing w:before="0" w:after="160" w:line="259" w:lineRule="auto"/>
      </w:pPr>
      <w:r/>
      <w:r/>
    </w:p>
    <w:p>
      <w:pPr>
        <w:pStyle w:val="766"/>
        <w:spacing w:before="0" w:after="160" w:line="259" w:lineRule="auto"/>
        <w:rPr>
          <w:highlight w:val="none"/>
        </w:rPr>
      </w:pPr>
      <w:r/>
      <w:r>
        <w:br w:type="page" w:clear="all"/>
      </w:r>
      <w:r>
        <w:rPr>
          <w:highlight w:val="none"/>
        </w:rPr>
      </w:r>
    </w:p>
    <w:p>
      <w:pPr>
        <w:pStyle w:val="767"/>
        <w:numPr>
          <w:ilvl w:val="0"/>
          <w:numId w:val="1"/>
        </w:numPr>
        <w:ind w:left="357" w:hanging="357"/>
        <w:jc w:val="center"/>
        <w:keepLines/>
        <w:spacing w:before="120" w:after="0"/>
        <w:rPr>
          <w:caps/>
        </w:rPr>
      </w:pPr>
      <w:r/>
      <w:bookmarkStart w:id="0" w:name="_Toc54646395"/>
      <w:r/>
      <w:bookmarkStart w:id="1" w:name="_Toc51339692"/>
      <w:r>
        <w:t xml:space="preserve">Общие сведения</w:t>
      </w:r>
      <w:bookmarkEnd w:id="0"/>
      <w:r/>
      <w:bookmarkEnd w:id="1"/>
      <w:r/>
      <w:r>
        <w:rPr>
          <w:caps/>
        </w:rPr>
      </w:r>
    </w:p>
    <w:p>
      <w:pPr>
        <w:pStyle w:val="770"/>
        <w:numPr>
          <w:ilvl w:val="1"/>
          <w:numId w:val="1"/>
        </w:numPr>
        <w:ind w:left="1224" w:hanging="432"/>
      </w:pPr>
      <w:r/>
      <w:bookmarkStart w:id="2" w:name="_Toc54646396"/>
      <w:r/>
      <w:bookmarkStart w:id="3" w:name="_Toc46743505"/>
      <w:r>
        <w:t xml:space="preserve">Обозначения и сокращения</w:t>
      </w:r>
      <w:bookmarkEnd w:id="2"/>
      <w:r/>
      <w:bookmarkEnd w:id="3"/>
      <w:r/>
      <w:r/>
    </w:p>
    <w:p>
      <w:pPr>
        <w:pStyle w:val="766"/>
        <w:rPr>
          <w:rStyle w:val="817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817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198"/>
        <w:gridCol w:w="758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8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АО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5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Акционерное общество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8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НТД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5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8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ОКПД2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5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Общероссийский классификатор продукции по видам экономической деятельности</w:t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8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СНиП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5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Строительные нормы и правила</w:t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8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5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Свод правил</w:t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8" w:type="dxa"/>
            <w:textDirection w:val="lrTb"/>
            <w:noWrap w:val="false"/>
          </w:tcPr>
          <w:p>
            <w:pPr>
              <w:pStyle w:val="766"/>
              <w:spacing w:before="0" w:beforeAutospacing="0" w:after="0" w:afterAutospacing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pdf – portable document format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5" w:type="dxa"/>
            <w:textDirection w:val="lrTb"/>
            <w:noWrap w:val="false"/>
          </w:tcPr>
          <w:p>
            <w:pPr>
              <w:pStyle w:val="766"/>
              <w:spacing w:before="0" w:beforeAutospacing="0" w:after="0" w:afterAutospacing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 файла электронного документа;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8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Style w:val="817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rStyle w:val="817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5" w:type="dxa"/>
            <w:textDirection w:val="lrTb"/>
            <w:noWrap w:val="false"/>
          </w:tcPr>
          <w:p>
            <w:pPr>
              <w:pStyle w:val="76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Style w:val="817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rStyle w:val="817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pStyle w:val="766"/>
      </w:pPr>
      <w:r/>
      <w:r/>
    </w:p>
    <w:p>
      <w:pPr>
        <w:pStyle w:val="766"/>
        <w:spacing w:before="0" w:after="160" w:line="259" w:lineRule="auto"/>
      </w:pPr>
      <w:r/>
      <w:r>
        <w:br w:type="page" w:clear="all"/>
      </w:r>
      <w:r/>
    </w:p>
    <w:p>
      <w:pPr>
        <w:pStyle w:val="770"/>
        <w:numPr>
          <w:ilvl w:val="1"/>
          <w:numId w:val="1"/>
        </w:numPr>
        <w:ind w:left="1224" w:hanging="432"/>
      </w:pPr>
      <w:r/>
      <w:bookmarkStart w:id="4" w:name="_Toc54646397"/>
      <w:r>
        <w:t xml:space="preserve">Наименование закупаемой продукции</w:t>
      </w:r>
      <w:bookmarkEnd w:id="4"/>
      <w:r/>
      <w:r/>
    </w:p>
    <w:p>
      <w:pPr>
        <w:pStyle w:val="766"/>
        <w:ind w:firstLine="720"/>
        <w:jc w:val="both"/>
        <w:rPr>
          <w:rFonts w:eastAsia="Calibri"/>
          <w:b/>
          <w:bCs/>
          <w:i w:val="0"/>
          <w:iCs w:val="0"/>
        </w:rPr>
        <w:suppressLineNumbers w:val="0"/>
      </w:pP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</w:r>
      <w:r>
        <w:rPr>
          <w:rFonts w:eastAsia="Calibri"/>
          <w:b/>
          <w:bCs/>
          <w:i w:val="0"/>
          <w:iCs w:val="0"/>
        </w:rPr>
      </w:r>
    </w:p>
    <w:p>
      <w:pPr>
        <w:pStyle w:val="766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770"/>
        <w:numPr>
          <w:ilvl w:val="1"/>
          <w:numId w:val="1"/>
        </w:numPr>
        <w:ind w:left="1224" w:hanging="432"/>
        <w:rPr>
          <w:rStyle w:val="817"/>
          <w:b/>
        </w:rPr>
      </w:pPr>
      <w:r>
        <w:t xml:space="preserve">Цель выполнения работ </w:t>
      </w:r>
      <w:r>
        <w:rPr>
          <w:rStyle w:val="817"/>
          <w:b/>
        </w:rPr>
      </w:r>
    </w:p>
    <w:p>
      <w:pPr>
        <w:pStyle w:val="766"/>
        <w:ind w:firstLine="720"/>
        <w:jc w:val="both"/>
        <w:rPr>
          <w:i w:val="0"/>
          <w:iCs w:val="0"/>
          <w:sz w:val="24"/>
          <w:szCs w:val="24"/>
          <w:highlight w:val="none"/>
        </w:rPr>
        <w:suppressLineNumbers w:val="0"/>
      </w:pPr>
      <w:r>
        <w:rPr>
          <w:i w:val="0"/>
          <w:iCs w:val="0"/>
          <w:sz w:val="24"/>
          <w:szCs w:val="24"/>
          <w:highlight w:val="white"/>
        </w:rPr>
        <w:t xml:space="preserve">Комплексное обследование направлено на обеспечение безопасной и эффективной работы энергетического оборудования, минимизацию рисков внеплановых остановок и повышение общей производительности электростанций.</w:t>
      </w:r>
      <w:r>
        <w:rPr>
          <w:i w:val="0"/>
          <w:iCs w:val="0"/>
          <w:sz w:val="24"/>
          <w:szCs w:val="24"/>
          <w:highlight w:val="none"/>
        </w:rPr>
      </w:r>
    </w:p>
    <w:p>
      <w:pPr>
        <w:pStyle w:val="766"/>
        <w:jc w:val="both"/>
        <w:rPr>
          <w:bCs/>
          <w:i/>
          <w:sz w:val="24"/>
          <w:szCs w:val="24"/>
          <w:highlight w:val="white"/>
        </w:rPr>
      </w:pP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pStyle w:val="770"/>
        <w:numPr>
          <w:ilvl w:val="1"/>
          <w:numId w:val="1"/>
        </w:numPr>
        <w:ind w:left="1224" w:hanging="432"/>
        <w:rPr>
          <w:highlight w:val="white"/>
        </w:rPr>
      </w:pPr>
      <w:r/>
      <w:bookmarkStart w:id="5" w:name="undefined_Копия_1"/>
      <w:r/>
      <w:bookmarkStart w:id="6" w:name="undefined"/>
      <w:r/>
      <w:bookmarkEnd w:id="6"/>
      <w:r>
        <w:rPr>
          <w:highlight w:val="white"/>
        </w:rPr>
        <w:t xml:space="preserve">Существующее положение</w:t>
      </w:r>
      <w:bookmarkEnd w:id="5"/>
      <w:r/>
      <w:r>
        <w:rPr>
          <w:highlight w:val="white"/>
        </w:rPr>
      </w:r>
    </w:p>
    <w:p>
      <w:pPr>
        <w:pStyle w:val="766"/>
        <w:ind w:firstLine="720"/>
        <w:jc w:val="both"/>
        <w:rPr>
          <w:i w:val="0"/>
          <w:iCs w:val="0"/>
          <w:sz w:val="24"/>
          <w:szCs w:val="24"/>
          <w:highlight w:val="white"/>
        </w:rPr>
        <w:suppressLineNumbers w:val="0"/>
      </w:pPr>
      <w:r>
        <w:rPr>
          <w:i w:val="0"/>
          <w:iCs w:val="0"/>
          <w:sz w:val="24"/>
          <w:szCs w:val="24"/>
          <w:highlight w:val="white"/>
        </w:rPr>
        <w:t xml:space="preserve">1.4.1</w:t>
      </w:r>
      <w:r>
        <w:rPr>
          <w:i w:val="0"/>
          <w:iCs w:val="0"/>
          <w:highlight w:val="white"/>
        </w:rPr>
        <w:t xml:space="preserve"> </w:t>
      </w:r>
      <w:r>
        <w:rPr>
          <w:i w:val="0"/>
          <w:iCs w:val="0"/>
          <w:sz w:val="24"/>
          <w:szCs w:val="24"/>
          <w:highlight w:val="white"/>
        </w:rPr>
        <w:t xml:space="preserve">Амурская ТЭЦ </w:t>
      </w:r>
      <w:r>
        <w:rPr>
          <w:i w:val="0"/>
          <w:iCs w:val="0"/>
          <w:sz w:val="24"/>
          <w:szCs w:val="24"/>
          <w:highlight w:val="white"/>
        </w:rPr>
        <w:t xml:space="preserve">– структурное подразделение АО «Дальневосточная генерирующая компания» (АО «ДГК»), входящее в Группу РусГидро, действует на территории </w:t>
      </w:r>
      <w:r>
        <w:rPr>
          <w:i w:val="0"/>
          <w:iCs w:val="0"/>
          <w:sz w:val="24"/>
          <w:szCs w:val="22"/>
          <w:highlight w:val="white"/>
        </w:rPr>
        <w:t xml:space="preserve">Российская Федерация</w:t>
      </w:r>
      <w:r>
        <w:rPr>
          <w:i w:val="0"/>
          <w:iCs w:val="0"/>
          <w:sz w:val="24"/>
          <w:szCs w:val="24"/>
          <w:highlight w:val="white"/>
        </w:rPr>
        <w:t xml:space="preserve">, Хабаровский край, г. Амурск, ул. Западное шоссе, д. 10. </w:t>
      </w:r>
      <w:r>
        <w:rPr>
          <w:i w:val="0"/>
          <w:iCs w:val="0"/>
          <w:sz w:val="24"/>
          <w:szCs w:val="24"/>
          <w:highlight w:val="white"/>
        </w:rPr>
      </w:r>
    </w:p>
    <w:p>
      <w:pPr>
        <w:pStyle w:val="766"/>
        <w:ind w:firstLine="720"/>
        <w:jc w:val="both"/>
        <w:rPr>
          <w:i w:val="0"/>
          <w:iCs w:val="0"/>
          <w:sz w:val="24"/>
          <w:szCs w:val="24"/>
          <w:highlight w:val="white"/>
        </w:rPr>
        <w:suppressLineNumbers w:val="0"/>
      </w:pPr>
      <w:r>
        <w:rPr>
          <w:i w:val="0"/>
          <w:iCs w:val="0"/>
          <w:sz w:val="24"/>
          <w:szCs w:val="24"/>
          <w:highlight w:val="white"/>
        </w:rPr>
        <w:t xml:space="preserve">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i w:val="0"/>
          <w:iCs w:val="0"/>
          <w:sz w:val="24"/>
          <w:szCs w:val="24"/>
          <w:highlight w:val="white"/>
        </w:rPr>
      </w:r>
    </w:p>
    <w:p>
      <w:pPr>
        <w:pStyle w:val="766"/>
        <w:ind w:firstLine="720"/>
        <w:jc w:val="both"/>
        <w:rPr>
          <w:i w:val="0"/>
          <w:iCs w:val="0"/>
          <w:sz w:val="24"/>
          <w:szCs w:val="24"/>
          <w:highlight w:val="white"/>
        </w:rPr>
        <w:suppressLineNumbers w:val="0"/>
      </w:pPr>
      <w:r>
        <w:rPr>
          <w:i w:val="0"/>
          <w:iCs w:val="0"/>
          <w:sz w:val="24"/>
          <w:szCs w:val="24"/>
          <w:highlight w:val="white"/>
        </w:rPr>
        <w:t xml:space="preserve">Амурская ТЭЦ представляет собой тепловую электростанцию с комбинированной выработкой электроэнергии и тепла. </w:t>
      </w:r>
      <w:r>
        <w:rPr>
          <w:i w:val="0"/>
          <w:iCs w:val="0"/>
          <w:sz w:val="24"/>
          <w:szCs w:val="24"/>
          <w:highlight w:val="white"/>
        </w:rPr>
      </w:r>
    </w:p>
    <w:p>
      <w:pPr>
        <w:pStyle w:val="766"/>
        <w:jc w:val="both"/>
        <w:rPr>
          <w:bCs/>
          <w:i/>
          <w:sz w:val="24"/>
          <w:szCs w:val="24"/>
          <w:highlight w:val="green"/>
        </w:rPr>
      </w:pPr>
      <w:r>
        <w:rPr>
          <w:bCs/>
          <w:i/>
          <w:sz w:val="24"/>
          <w:szCs w:val="24"/>
          <w:highlight w:val="green"/>
        </w:rPr>
      </w:r>
      <w:r>
        <w:rPr>
          <w:bCs/>
          <w:i/>
          <w:sz w:val="24"/>
          <w:szCs w:val="24"/>
          <w:highlight w:val="green"/>
        </w:rPr>
      </w:r>
    </w:p>
    <w:p>
      <w:pPr>
        <w:pStyle w:val="767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7" w:name="_Toc54646400"/>
      <w:r/>
      <w:bookmarkStart w:id="8" w:name="_Таблица_1."/>
      <w:r/>
      <w:bookmarkEnd w:id="8"/>
      <w:r>
        <w:rPr>
          <w:sz w:val="24"/>
          <w:szCs w:val="24"/>
        </w:rPr>
        <w:t xml:space="preserve">Таблица 1. Перечень объектов заказчика</w:t>
      </w:r>
      <w:bookmarkEnd w:id="7"/>
      <w:r/>
      <w:r>
        <w:rPr>
          <w:sz w:val="24"/>
          <w:szCs w:val="24"/>
        </w:rPr>
      </w:r>
    </w:p>
    <w:p>
      <w:pPr>
        <w:pStyle w:val="770"/>
        <w:numPr>
          <w:ilvl w:val="0"/>
          <w:numId w:val="0"/>
        </w:numPr>
        <w:ind w:left="0" w:firstLine="0"/>
      </w:pPr>
      <w:r/>
      <w:r/>
    </w:p>
    <w:tbl>
      <w:tblPr>
        <w:tblW w:w="1022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947"/>
        <w:gridCol w:w="4972"/>
        <w:gridCol w:w="4304"/>
      </w:tblGrid>
      <w:tr>
        <w:tblPrEx/>
        <w:trPr>
          <w:trHeight w:val="6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6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п/п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top w:w="55" w:type="dxa"/>
              <w:bottom w:w="55" w:type="dxa"/>
            </w:tcMar>
            <w:tcW w:w="4972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объекта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6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5" w:type="dxa"/>
              <w:bottom w:w="55" w:type="dxa"/>
            </w:tcMar>
            <w:tcW w:w="4304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Расположение объекта </w:t>
            </w:r>
            <w:r>
              <w:rPr>
                <w:sz w:val="24"/>
                <w:szCs w:val="24"/>
                <w:highlight w:val="white"/>
              </w:rPr>
              <w:br w:type="textWrapping" w:clear="all"/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(место производства работ)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2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4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0"/>
                <w:numId w:val="3"/>
              </w:numPr>
              <w:jc w:val="center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2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widowControl w:val="off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Турбогенератор </w:t>
            </w:r>
            <w:r>
              <w:rPr>
                <w:b w:val="0"/>
                <w:bCs w:val="0"/>
                <w:sz w:val="24"/>
                <w:szCs w:val="24"/>
              </w:rPr>
              <w:t xml:space="preserve">ТВФ-63-2 УЗ ст. №3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766"/>
              <w:ind w:left="0" w:right="0" w:firstLine="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Инв</w:t>
            </w:r>
            <w:r>
              <w:rPr>
                <w:rFonts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№ B060000000452</w:t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4" w:type="dxa"/>
            <w:vAlign w:val="center"/>
            <w:vMerge w:val="restart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  <w:t xml:space="preserve">Структурное подразделение «Амурская ТЭЦ-1» Российская Федерация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, Хабаровский край, г. Амурск, Западное шоссе,10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0"/>
                <w:numId w:val="3"/>
              </w:numPr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2" w:type="dxa"/>
            <w:vAlign w:val="center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spacing w:line="271" w:lineRule="auto"/>
              <w:widowControl w:val="off"/>
              <w:tabs>
                <w:tab w:val="center" w:pos="426" w:leader="none"/>
                <w:tab w:val="clear" w:pos="708" w:leader="none"/>
                <w:tab w:val="center" w:pos="993" w:leader="none"/>
              </w:tabs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ТурбогенераторТВФ-120-2 УЗ ст. №5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766"/>
              <w:ind w:left="0" w:right="0" w:firstLine="0"/>
              <w:jc w:val="center"/>
              <w:widowControl w:val="off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Инв № B060000000454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4" w:type="dxa"/>
            <w:vAlign w:val="center"/>
            <w:vMerge w:val="continue"/>
            <w:textDirection w:val="lrTb"/>
            <w:noWrap w:val="false"/>
          </w:tcPr>
          <w:p>
            <w:pPr>
              <w:pStyle w:val="766"/>
              <w:widowControl w:val="off"/>
            </w:pPr>
            <w:r/>
            <w:r/>
          </w:p>
        </w:tc>
      </w:tr>
    </w:tbl>
    <w:p>
      <w:pPr>
        <w:pStyle w:val="766"/>
        <w:jc w:val="center"/>
      </w:pPr>
      <w:r/>
      <w:r/>
    </w:p>
    <w:p>
      <w:pPr>
        <w:pStyle w:val="770"/>
        <w:numPr>
          <w:ilvl w:val="1"/>
          <w:numId w:val="1"/>
        </w:numPr>
        <w:ind w:left="1224" w:hanging="432"/>
        <w:jc w:val="both"/>
        <w:rPr>
          <w:highlight w:val="white"/>
        </w:rPr>
      </w:pPr>
      <w:r>
        <w:rPr>
          <w:highlight w:val="white"/>
        </w:rPr>
        <w:t xml:space="preserve">Информация в отношении исполнения договора, </w:t>
      </w:r>
      <w:bookmarkStart w:id="9" w:name="_Hlk46492347"/>
      <w:r>
        <w:rPr>
          <w:highlight w:val="white"/>
        </w:rPr>
        <w:t xml:space="preserve">которая должна быть учтена при подготовке заявки </w:t>
      </w:r>
      <w:bookmarkEnd w:id="9"/>
      <w:r>
        <w:rPr>
          <w:highlight w:val="white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r>
        <w:rPr>
          <w:highlight w:val="white"/>
        </w:rPr>
      </w:r>
    </w:p>
    <w:p>
      <w:pPr>
        <w:pStyle w:val="860"/>
        <w:ind w:left="0" w:right="0" w:firstLine="652"/>
        <w:jc w:val="both"/>
        <w:spacing w:before="0" w:beforeAutospacing="0" w:after="0" w:afterAutospacing="0" w:line="271" w:lineRule="auto"/>
      </w:pPr>
      <w:r>
        <w:t xml:space="preserve"> </w:t>
      </w:r>
      <w:r>
        <w:rPr>
          <w:color w:val="000000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оказания услуги по Договору.</w:t>
      </w:r>
      <w:r/>
    </w:p>
    <w:p>
      <w:pPr>
        <w:pStyle w:val="766"/>
        <w:jc w:val="both"/>
        <w:rPr>
          <w:sz w:val="24"/>
          <w:szCs w:val="24"/>
          <w:highlight w:val="white"/>
        </w:rPr>
      </w:pPr>
      <w:r>
        <w:rPr>
          <w:color w:val="000000"/>
          <w:sz w:val="24"/>
          <w:szCs w:val="24"/>
        </w:rPr>
        <w:t xml:space="preserve">            </w:t>
      </w:r>
      <w:r>
        <w:rPr>
          <w:color w:val="000000"/>
          <w:sz w:val="24"/>
          <w:szCs w:val="24"/>
        </w:rPr>
        <w:t xml:space="preserve">При наличии техническая документация (характеристики, паспорта, чертежи, схемы, проектная документация и др.) предоставляются Заказчиком по запросу Исполнителя.</w:t>
      </w:r>
      <w:bookmarkStart w:id="10" w:name="undefined_Копия_2"/>
      <w:r/>
      <w:bookmarkEnd w:id="10"/>
      <w:r/>
      <w:r>
        <w:rPr>
          <w:sz w:val="24"/>
          <w:szCs w:val="24"/>
          <w:highlight w:val="white"/>
        </w:rPr>
      </w:r>
    </w:p>
    <w:p>
      <w:pPr>
        <w:pStyle w:val="767"/>
        <w:numPr>
          <w:ilvl w:val="0"/>
          <w:numId w:val="0"/>
        </w:numPr>
        <w:ind w:left="357" w:firstLine="0"/>
        <w:jc w:val="left"/>
        <w:keepLines/>
        <w:rPr>
          <w:caps/>
        </w:rPr>
      </w:pPr>
      <w:r>
        <w:rPr>
          <w:caps/>
        </w:rPr>
      </w:r>
      <w:r>
        <w:rPr>
          <w:caps/>
        </w:rPr>
      </w:r>
    </w:p>
    <w:p>
      <w:pPr>
        <w:pStyle w:val="767"/>
        <w:numPr>
          <w:ilvl w:val="0"/>
          <w:numId w:val="1"/>
        </w:numPr>
        <w:ind w:left="357" w:hanging="357"/>
        <w:jc w:val="center"/>
        <w:keepLines/>
        <w:spacing w:before="120" w:after="0"/>
        <w:rPr>
          <w:iCs/>
          <w:caps/>
        </w:rPr>
      </w:pPr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</w:rPr>
      </w:r>
    </w:p>
    <w:p>
      <w:pPr>
        <w:pStyle w:val="770"/>
        <w:numPr>
          <w:ilvl w:val="1"/>
          <w:numId w:val="1"/>
        </w:numPr>
        <w:ind w:left="1224" w:hanging="432"/>
        <w:spacing w:before="120" w:after="0"/>
      </w:pPr>
      <w:r/>
      <w:bookmarkStart w:id="11" w:name="_Toc54646404"/>
      <w:r>
        <w:t xml:space="preserve">Требования к объемам и срокам оказания услуг</w:t>
      </w:r>
      <w:bookmarkEnd w:id="11"/>
      <w:r/>
      <w:r/>
    </w:p>
    <w:p>
      <w:pPr>
        <w:pStyle w:val="769"/>
        <w:numPr>
          <w:ilvl w:val="2"/>
          <w:numId w:val="1"/>
        </w:numPr>
        <w:ind w:left="1224" w:hanging="504"/>
      </w:pPr>
      <w:r/>
      <w:bookmarkStart w:id="12" w:name="_Toc54646405"/>
      <w:r>
        <w:t xml:space="preserve">Требования к видам и объемам услуг</w:t>
      </w:r>
      <w:bookmarkEnd w:id="12"/>
      <w:r/>
      <w:r/>
    </w:p>
    <w:p>
      <w:pPr>
        <w:pStyle w:val="767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3" w:name="_Toc54646406"/>
      <w:r/>
      <w:bookmarkStart w:id="14" w:name="_Toc51339695"/>
      <w:r>
        <w:rPr>
          <w:sz w:val="24"/>
          <w:szCs w:val="24"/>
        </w:rPr>
        <w:t xml:space="preserve">Таблица 2. Перечень </w:t>
      </w:r>
      <w:bookmarkEnd w:id="14"/>
      <w:r>
        <w:rPr>
          <w:sz w:val="24"/>
          <w:szCs w:val="24"/>
        </w:rPr>
        <w:t xml:space="preserve">и объем оказываемых услуг</w:t>
      </w:r>
      <w:bookmarkEnd w:id="13"/>
      <w:r/>
      <w:r>
        <w:rPr>
          <w:sz w:val="24"/>
          <w:szCs w:val="24"/>
        </w:rPr>
      </w:r>
    </w:p>
    <w:tbl>
      <w:tblPr>
        <w:tblW w:w="9810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4708"/>
        <w:gridCol w:w="2136"/>
        <w:gridCol w:w="211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766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766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8" w:type="dxa"/>
            <w:vAlign w:val="center"/>
            <w:textDirection w:val="lrTb"/>
            <w:noWrap w:val="false"/>
          </w:tcPr>
          <w:p>
            <w:pPr>
              <w:pStyle w:val="766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6" w:type="dxa"/>
            <w:vAlign w:val="center"/>
            <w:textDirection w:val="lrTb"/>
            <w:noWrap w:val="false"/>
          </w:tcPr>
          <w:p>
            <w:pPr>
              <w:pStyle w:val="766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6" w:type="dxa"/>
            <w:vAlign w:val="center"/>
            <w:textDirection w:val="lrTb"/>
            <w:noWrap w:val="false"/>
          </w:tcPr>
          <w:p>
            <w:pPr>
              <w:pStyle w:val="766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top w:w="55" w:type="dxa"/>
              <w:bottom w:w="55" w:type="dxa"/>
            </w:tcMar>
            <w:tcW w:w="4708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top w:w="55" w:type="dxa"/>
              <w:bottom w:w="55" w:type="dxa"/>
            </w:tcMar>
            <w:tcW w:w="2136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55" w:type="dxa"/>
              <w:bottom w:w="55" w:type="dxa"/>
            </w:tcMar>
            <w:tcW w:w="2116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53"/>
              <w:numPr>
                <w:ilvl w:val="0"/>
                <w:numId w:val="4"/>
              </w:num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8" w:type="dxa"/>
            <w:textDirection w:val="lrTb"/>
            <w:noWrap w:val="false"/>
          </w:tcPr>
          <w:p>
            <w:pPr>
              <w:pStyle w:val="766"/>
              <w:jc w:val="center"/>
              <w:keepLines/>
              <w:keepNext/>
              <w:widowControl w:val="off"/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В соответствии с ведомостью объемов работ (Приложение № 1 к ТТ)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</w:tbl>
    <w:p>
      <w:pPr>
        <w:pStyle w:val="769"/>
        <w:numPr>
          <w:ilvl w:val="0"/>
          <w:numId w:val="0"/>
        </w:numPr>
        <w:ind w:left="1224" w:firstLine="0"/>
      </w:pPr>
      <w:r/>
      <w:r/>
    </w:p>
    <w:p>
      <w:pPr>
        <w:pStyle w:val="769"/>
        <w:numPr>
          <w:ilvl w:val="2"/>
          <w:numId w:val="1"/>
        </w:numPr>
        <w:ind w:left="1224" w:hanging="504"/>
      </w:pPr>
      <w:r>
        <w:t xml:space="preserve">Требования к срокам оказания услуг</w:t>
      </w:r>
      <w:r/>
    </w:p>
    <w:p>
      <w:pPr>
        <w:pStyle w:val="767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5" w:name="_Toc54646408"/>
      <w:r/>
      <w:bookmarkStart w:id="16" w:name="_Toc51339697"/>
      <w:r/>
      <w:bookmarkStart w:id="17" w:name="_Toc50125127"/>
      <w:r>
        <w:rPr>
          <w:sz w:val="24"/>
          <w:szCs w:val="24"/>
        </w:rPr>
        <w:t xml:space="preserve">Таблица 3. </w:t>
      </w:r>
      <w:bookmarkStart w:id="18" w:name="_Hlk50465284"/>
      <w:r>
        <w:rPr>
          <w:sz w:val="24"/>
          <w:szCs w:val="24"/>
        </w:rPr>
        <w:t xml:space="preserve">Требования по срокам </w:t>
      </w:r>
      <w:bookmarkEnd w:id="16"/>
      <w:r/>
      <w:bookmarkEnd w:id="17"/>
      <w:r>
        <w:rPr>
          <w:sz w:val="24"/>
          <w:szCs w:val="24"/>
        </w:rPr>
        <w:t xml:space="preserve">оказания услуг</w:t>
      </w:r>
      <w:bookmarkEnd w:id="15"/>
      <w:r/>
      <w:bookmarkEnd w:id="18"/>
      <w:r/>
      <w:r>
        <w:rPr>
          <w:sz w:val="24"/>
          <w:szCs w:val="24"/>
        </w:rPr>
      </w:r>
    </w:p>
    <w:tbl>
      <w:tblPr>
        <w:tblW w:w="9781" w:type="dxa"/>
        <w:tblInd w:w="13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2"/>
        <w:gridCol w:w="4516"/>
        <w:gridCol w:w="2126"/>
        <w:gridCol w:w="2157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" w:type="dxa"/>
            <w:vAlign w:val="center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16" w:type="dxa"/>
            <w:vAlign w:val="center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7" w:type="dxa"/>
            <w:vAlign w:val="center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16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54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7" w:type="dxa"/>
            <w:textDirection w:val="lrTb"/>
            <w:noWrap w:val="false"/>
          </w:tcPr>
          <w:p>
            <w:pPr>
              <w:pStyle w:val="854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" w:type="dxa"/>
            <w:textDirection w:val="lrTb"/>
            <w:noWrap w:val="false"/>
          </w:tcPr>
          <w:p>
            <w:pPr>
              <w:pStyle w:val="853"/>
              <w:numPr>
                <w:ilvl w:val="0"/>
                <w:numId w:val="5"/>
              </w:numPr>
              <w:jc w:val="center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16" w:type="dxa"/>
            <w:textDirection w:val="lrTb"/>
            <w:noWrap w:val="false"/>
          </w:tcPr>
          <w:p>
            <w:pPr>
              <w:pStyle w:val="766"/>
              <w:jc w:val="center"/>
              <w:keepLines/>
              <w:keepNext/>
              <w:widowControl w:val="off"/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i w:val="0"/>
                <w:iCs w:val="0"/>
                <w:color w:val="00000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000000"/>
                <w:sz w:val="24"/>
                <w:szCs w:val="24"/>
              </w:rPr>
              <w:t xml:space="preserve">С даты заключения Договора</w:t>
            </w:r>
            <w:r>
              <w:rPr>
                <w:i w:val="0"/>
                <w:iCs w:val="0"/>
                <w:color w:val="000000"/>
                <w:sz w:val="24"/>
                <w:szCs w:val="24"/>
                <w:highlight w:val="white"/>
              </w:rPr>
            </w:r>
          </w:p>
          <w:p>
            <w:pPr>
              <w:pStyle w:val="766"/>
              <w:jc w:val="center"/>
              <w:widowControl w:val="off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7" w:type="dxa"/>
            <w:textDirection w:val="lrTb"/>
            <w:noWrap w:val="false"/>
          </w:tcPr>
          <w:p>
            <w:pPr>
              <w:pStyle w:val="766"/>
              <w:jc w:val="center"/>
              <w:widowControl w:val="off"/>
              <w:rPr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30.12.2026</w:t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</w:p>
        </w:tc>
      </w:tr>
    </w:tbl>
    <w:p>
      <w:pPr>
        <w:pStyle w:val="766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66"/>
        <w:ind w:left="567" w:hanging="567"/>
        <w:spacing w:line="360" w:lineRule="auto"/>
        <w:sectPr>
          <w:headerReference w:type="default" r:id="rId9"/>
          <w:footnotePr/>
          <w:endnotePr/>
          <w:type w:val="nextPage"/>
          <w:pgSz w:w="11906" w:h="16838" w:orient="portrait"/>
          <w:pgMar w:top="851" w:right="709" w:bottom="1134" w:left="1276" w:header="426" w:footer="0" w:gutter="0"/>
          <w:cols w:num="1" w:sep="0" w:space="1701" w:equalWidth="1"/>
          <w:docGrid w:linePitch="360"/>
        </w:sectPr>
      </w:pPr>
      <w:r>
        <w:rPr>
          <w:rFonts w:eastAsia="Calibri"/>
          <w:i/>
          <w:sz w:val="24"/>
          <w:szCs w:val="24"/>
        </w:rPr>
        <w:tab/>
      </w:r>
      <w:r/>
    </w:p>
    <w:p>
      <w:pPr>
        <w:pStyle w:val="770"/>
        <w:numPr>
          <w:ilvl w:val="1"/>
          <w:numId w:val="1"/>
        </w:numPr>
        <w:ind w:left="1224" w:hanging="432"/>
      </w:pPr>
      <w:r/>
      <w:bookmarkStart w:id="19" w:name="_Toc54646410"/>
      <w:r>
        <w:t xml:space="preserve">Требования к качеству услуг</w:t>
      </w:r>
      <w:r/>
    </w:p>
    <w:p>
      <w:pPr>
        <w:pStyle w:val="767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20" w:name="_Toc51339698"/>
      <w:r>
        <w:rPr>
          <w:sz w:val="24"/>
          <w:szCs w:val="24"/>
        </w:rPr>
        <w:t xml:space="preserve">Таблица 4. Требования к </w:t>
      </w:r>
      <w:bookmarkEnd w:id="20"/>
      <w:r>
        <w:rPr>
          <w:sz w:val="24"/>
          <w:szCs w:val="24"/>
        </w:rPr>
        <w:t xml:space="preserve">качеству услуг</w:t>
      </w:r>
      <w:bookmarkEnd w:id="19"/>
      <w:r/>
      <w:r>
        <w:rPr>
          <w:sz w:val="24"/>
          <w:szCs w:val="24"/>
        </w:rPr>
      </w:r>
      <w:r>
        <w:rPr>
          <w:b w:val="0"/>
          <w:iCs/>
          <w:sz w:val="24"/>
          <w:szCs w:val="24"/>
        </w:rPr>
      </w:r>
      <w:r>
        <w:rPr>
          <w:rStyle w:val="817"/>
          <w:b w:val="0"/>
          <w:iCs/>
          <w:sz w:val="24"/>
          <w:szCs w:val="24"/>
        </w:rPr>
      </w:r>
      <w:r>
        <w:rPr>
          <w:sz w:val="24"/>
          <w:szCs w:val="24"/>
        </w:rPr>
      </w:r>
    </w:p>
    <w:tbl>
      <w:tblPr>
        <w:tblStyle w:val="992"/>
        <w:tblW w:w="5000" w:type="pct"/>
        <w:tblInd w:w="55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728"/>
        <w:gridCol w:w="51"/>
        <w:gridCol w:w="3"/>
        <w:gridCol w:w="2002"/>
        <w:gridCol w:w="29"/>
        <w:gridCol w:w="6169"/>
        <w:gridCol w:w="35"/>
        <w:gridCol w:w="3217"/>
        <w:gridCol w:w="32"/>
        <w:gridCol w:w="2304"/>
      </w:tblGrid>
      <w:tr>
        <w:tblPrEx/>
        <w:trPr>
          <w:cantSplit/>
        </w:trPr>
        <w:tc>
          <w:tcPr>
            <w:gridSpan w:val="2"/>
            <w:tcBorders>
              <w:right w:val="none" w:color="000000" w:sz="4" w:space="0"/>
            </w:tcBorders>
            <w:tcW w:w="779" w:type="dxa"/>
            <w:vAlign w:val="center"/>
            <w:vMerge w:val="restart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2034" w:type="dxa"/>
            <w:vAlign w:val="center"/>
            <w:vMerge w:val="restart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Наименование параметра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right w:val="none" w:color="000000" w:sz="4" w:space="0"/>
            </w:tcBorders>
            <w:tcW w:w="6204" w:type="dxa"/>
            <w:vAlign w:val="center"/>
            <w:vMerge w:val="restart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Требование заказчика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3"/>
            <w:tcW w:w="5553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vMerge w:val="continue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34" w:type="dxa"/>
            <w:vAlign w:val="center"/>
            <w:vMerge w:val="continue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204" w:type="dxa"/>
            <w:vAlign w:val="center"/>
            <w:vMerge w:val="continue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34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204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473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0"/>
                <w:numId w:val="6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Требования к оказанию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 w:bidi="ar-SA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Общие требования к оказанию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2"/>
                <w:numId w:val="6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shd w:val="clear" w:color="auto" w:fill="ffffff"/>
            <w:tcBorders>
              <w:top w:val="none" w:color="000000" w:sz="4" w:space="0"/>
              <w:right w:val="none" w:color="000000" w:sz="4" w:space="0"/>
            </w:tcBorders>
            <w:tcW w:w="203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Соблюдение при оказании услуг норм и правил нормативно-технических документов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right w:val="none" w:color="000000" w:sz="4" w:space="0"/>
            </w:tcBorders>
            <w:tcW w:w="62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lang w:val="ru-RU" w:bidi="ar-SA"/>
              </w:rPr>
              <w:t xml:space="preserve">При оказании услуг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 w:bidi="ar-SA"/>
              </w:rPr>
              <w:t xml:space="preserve">по проведению комплексного диагностического обследования турбогенератора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lang w:val="ru-RU" w:bidi="ar-SA"/>
              </w:rPr>
              <w:t xml:space="preserve"> подрядчик обязан руководствоваться требованиями следующих нормативно-технических документов (НТД):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Правила технической эксплуатации электрических станций и сетей РФ. </w:t>
            </w:r>
            <w:r>
              <w:rPr>
                <w:rFonts w:ascii="Times New Roman" w:hAnsi="Times New Roman" w:eastAsia="Times New Roman" w:cs="Times New Roman"/>
                <w:color w:val="333333"/>
                <w:sz w:val="22"/>
                <w:szCs w:val="22"/>
                <w:shd w:val="clear" w:color="auto" w:fill="ffffff"/>
                <w:lang w:val="ru-RU" w:bidi="ar-SA"/>
              </w:rPr>
              <w:t xml:space="preserve">Приказ Минэнерго РФ от 04.10.2022 N 1070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РД 153-34.1-20.602-2002. Основные положение и требования договора на выполнение работ по ремонту оборудования электростанций.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СРМ-2000 (Приложение к СРМ п.6,5) Электротехническая часть.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3" w:leader="none"/>
                <w:tab w:val="left" w:pos="262" w:leader="none"/>
                <w:tab w:val="left" w:pos="45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Правила организации технического обслуживания и ремонта объектов электроэнергетики (Приказ Минэнерго России (Министерства энергетики РФ) от 25 октября 2017 г. №1013)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Положением   ОАО «ДГК» «О взаимодействии с подрядными организациями в области охраны труда, промышленной и пожарной безопасности».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9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3" w:leader="none"/>
                <w:tab w:val="left" w:pos="262" w:leader="none"/>
                <w:tab w:val="left" w:pos="45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- РД 153-34.0-03.301-00   Правила пожарной безопасности для энергетических предприятий.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3" w:leader="none"/>
                <w:tab w:val="left" w:pos="262" w:leader="none"/>
                <w:tab w:val="left" w:pos="45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Правила по охране труда при эксплуатации электроустановок (№ 903 н от 15.12.2020 г.)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РД 34.45-51.300-97 Объемы и нормы испытания электрооборудования.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ГОСТ 12.2.007.0-75 Система стандартов безопасности труда. Изделия электротехнические. Общие требования безопасности.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ГОСТ 12.2.007.2-75 Система стандартов безопасности труда.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ГОСТ 1516.3-96 Электрооборудование переменного тока на напряжения от 1 до - 750 кВ. Требования к электрической прочности изоляции.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ГОСТ 8865-93 Системы электрической изоляции. Оценка нагревостойкости и классификация.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ГОСТ 10434-82 Соединения контактные электрические. Классификация. Общие технические требования.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ГОСТ 14254-2015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 (МЭК 529-89) Степени защиты, обеспечиваемые оболочками (Код IP).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ГОСТ 15543.1-89 Изделия электротехнические. Общие требования в части стойкости к климатическим внешним воздействующим факторам.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bidi="ar-SA"/>
              </w:rPr>
              <w:t xml:space="preserve">ГОСТ 17516.1-90 Изделия электротехнические. Общие требования в части стойкости к механическим внешним воздействующим факторам.</w:t>
            </w:r>
            <w:bookmarkStart w:id="21" w:name="undefined_Копия_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1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Оценка технического состояния генераторов СП «Амурская ТЭЦ-1» АО «ДГК» проводится в соответствии с  требованиями: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- Методики оценки технического состояния основного технологического оборудования и линий электропередачи электрических станций и электрических сетей (с изменениями на 17 марта 2020 года Приказ Министерства энергетики РФ №192);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-  Руководства  по повышению надежности эксплуатации бандажных узлов роторов турбогенераторов, утвержденных приказом ОАО РАО  «ЕЭС России» от 05.04.2007 №232;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-Типовой инструкции «Проведение ремонта и модернизации активной стали с использованием современных методов диагностики и контроля технического      состояния турбогенераторов».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ffffff"/>
                <w:lang w:val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Требования к организации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320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3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Требования к организации процесса оказания услуг: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2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Исполнитель должен: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1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val="ru-RU" w:bidi="ar-SA"/>
              </w:rPr>
              <w:t xml:space="preserve">Разработать программу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, согласовать с «Заказчиком»  за 15 дней до начала натурных обследований.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1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val="ru-RU" w:bidi="ar-SA"/>
              </w:rPr>
              <w:t xml:space="preserve">Провести полное  комплексное диагностическое обследование  турбогенератора.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1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Заказчик вправе в любое время проверять ход и качество услуги, выполняемой Исполнителем не вмешиваясь в его организационную деятельность.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Заказчик вправе вмешаться в производство оказания услуг Исполнителя, если последний: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Своим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и действиями вызвал угрозу нарушения нормальной эксплуатации действующего оборудования или нарушает ПТЭ, ПТБ, правила Ростехнадзора РФ, правила противопожарной безопасности или угрозу жизни и здоровью людей, или угрозу экологической безопасности населения.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Оказывает услуги с нарушением согласованного графика, если окончание их в срок невозможно.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Допустил дефекты, которые могут быть скрыты последующими работами.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Не выполняет требования технологической и нормативно-технической документации.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В этих случаях Заказчик вправе потребовать от Исполнителя  устранить указанные нарушения. Если Исполнителем не будут приняты меры по устранению замечаний, Заказчик вправе расторгнуть Договор.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Контроль качества выполнения услуг по диагностике оборудования должны производиться в соответствии: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2"/>
              </w:numPr>
              <w:contextualSpacing w:val="0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34" w:leader="none"/>
                <w:tab w:val="left" w:pos="262" w:leader="none"/>
                <w:tab w:val="left" w:pos="45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Правилами организации технического обслуживания и ремонта объектов электроэнергетики (Приказ Минэнерго России (Министерства энергетики РФ) от 25 октября 2017 г. №1013)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с правилами технической эксплуатации электростанций и сетей Российской  Федерации. Зарегистрировано Минюстом России №4799 от 20.06.03г. (СО153-34.20.501-2003).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с объемами и нормами испытаний электрооборудования РД 34.45-51.300-97.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</w:tc>
      </w:tr>
      <w:tr>
        <w:tblPrEx/>
        <w:trPr>
          <w:cantSplit/>
          <w:trHeight w:val="320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34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ffffff"/>
                <w:lang w:val="ru-RU" w:bidi="ar-SA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2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- Положением о пропускном и внутриобъектовом режимах на объектах АО «ДГК» (Приложение № 2 к ТТ)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с обязательным оформлением необходимых нарядов-допусков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 и актов-допусков;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7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Положением о допуске персонала подрядных организаций к выполнению работ на объектах АО «ДГК» - 22.1-504-2025,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(утверждено приказом АО «ДГК» №795 от 25.09.2025) (Приложение № 2 к ТТ).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</w:tc>
      </w:tr>
      <w:tr>
        <w:tblPrEx/>
        <w:trPr>
          <w:cantSplit/>
          <w:trHeight w:val="399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shd w:val="clear" w:color="auto" w:fill="ffffff"/>
                <w:lang w:val="ru-RU" w:bidi="ar-SA"/>
              </w:rPr>
              <w:t xml:space="preserve">Требования к контролю качества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3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Требования к контролю качества оказания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shd w:val="clear" w:color="auto" w:fill="ffffff"/>
                <w:lang w:val="ru-RU" w:bidi="ar-SA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2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709" w:leader="none"/>
                <w:tab w:val="left" w:pos="141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Услуги должны быть оказаны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396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shd w:val="clear" w:color="auto" w:fill="ffffff"/>
                <w:lang w:val="ru-RU" w:bidi="ar-SA"/>
              </w:rPr>
              <w:t xml:space="preserve">Требования к персоналу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396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2005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Квалификация персонала подрядчика, привлекаемого к оказанию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6233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При оказании услуг Исполнитель обязан иметь: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- аттестованных по электробезопасности  специалистов  в соответствии с правилами по охране труда при эксплуатации электроустановок. Персонал должен иметь группу по ЭБ для работ в электроустановках свыше 1000 В (ответственный руководитель работ не ниже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en-US" w:bidi="ar-SA"/>
              </w:rPr>
              <w:t xml:space="preserve">V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 гр., производитель работ не ниже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en-US" w:bidi="ar-SA"/>
              </w:rPr>
              <w:t xml:space="preserve">IV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 гр., члены бригады не ниже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en-US" w:bidi="ar-SA"/>
              </w:rPr>
              <w:t xml:space="preserve">III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 гр.),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bidi="ar-SA"/>
              </w:rPr>
              <w:t xml:space="preserve"> иметь необходимое медицинское освидетельствование, удостоверения согласно требованиям Правил работы, с персоналом в организациях электроэнергетики РФ.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2765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vAlign w:val="center"/>
            <w:textDirection w:val="lrTb"/>
            <w:noWrap w:val="false"/>
          </w:tcPr>
          <w:p>
            <w:pPr>
              <w:pStyle w:val="853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2005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участникам закупки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6233" w:type="dxa"/>
            <w:vAlign w:val="center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должен иметь: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ействующее свидетельство о регистрации электротехнической лаборатории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</w:rPr>
              <w:t xml:space="preserve">с правом выполнения приемо-сдаточных испытаний и измерений электрооборудования и электроустановок напряжением до 750 кВ, в том числе испытания синхронных генераторов и компенсаторов напряжением до 35 кВ,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ибо привлечь к оказанию услуг аттестованные лаборатории других организаций на условиях субподряда.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i w:val="0"/>
                <w:caps w:val="0"/>
                <w:smallCaps w:val="0"/>
                <w:color w:val="111111"/>
                <w:spacing w:val="0"/>
                <w:sz w:val="22"/>
                <w:szCs w:val="22"/>
                <w:shd w:val="clear" w:color="auto" w:fill="ffffff"/>
                <w:lang w:val="ru-RU" w:eastAsia="en-US" w:bidi="ar-SA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caps w:val="0"/>
                <w:smallCaps w:val="0"/>
                <w:color w:val="111111"/>
                <w:spacing w:val="0"/>
                <w:sz w:val="22"/>
                <w:szCs w:val="22"/>
                <w:shd w:val="clear" w:color="auto" w:fill="ffffff"/>
                <w:lang w:val="ru-RU" w:bidi="ar-SA"/>
              </w:rPr>
              <w:t xml:space="preserve">аказчик не располагает высоковольтной установкой. Подачу высокого  напряжения выполняет Исполнитель.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489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top w:val="none" w:color="000000" w:sz="4" w:space="0"/>
            </w:tcBorders>
            <w:tcW w:w="13791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Требования к безопасности работ и охране труда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1.2.1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2005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Требования к безопасности оказываемых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0"/>
              </w:numPr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19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До начала оказания услуг Исполнитель предоста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вляет Заказчику «Перечень лиц, имеющих право быть руководителями, производителями и членами бригады», а также «Перечень лиц, имеющих право подписывать акт допуск и выдавать наряды на производство работ повышенной опасности». Указанный персонал должен быть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shd w:val="clear" w:color="auto" w:fill="ffffff"/>
                <w:lang w:val="ru-RU" w:bidi="ar-SA"/>
              </w:rPr>
              <w:t xml:space="preserve">аттестован по охране труда в установленном порядке и иметь при себе удостоверения установленного образца. Выполнение на объекте необходимых противопожарных мероприятий, мероприятий по технике безопасности и охране окружающей среды во время оказания услуг,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соблюдать требования правил внутреннего распорядка, пропускного и внутри объектного режима.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2"/>
                <w:szCs w:val="22"/>
                <w:shd w:val="clear" w:color="auto" w:fill="ffffff"/>
                <w:lang w:val="ru-RU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Пере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д  началом оказания услуг  предоставляет  в адрес станции список работников, которые имеют право выдачи нарядов, быть руководителем  и  производителем работ группы  по ЭБ, с указанием фамилии и инициалов, должности, удостоверений   по  специализации работ.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Работы производятся только по согласованию цеха эксплуатирующего   данное оборудование.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«Исполнитель» обязан ознакомиться с условиями и особенностями энергоо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бъекта СП Амурская ТЭЦ-1  и правилами нахождения на его территории до подписания договора. «Исполнитель»  должен хорошо изучить условия, при которых предстоит выполнить весь объем услуг и факторы, которые могут отрицательно повлиять на выполнение договора.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52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highlight w:val="white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336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990"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1.2.2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002" w:type="dxa"/>
            <w:textDirection w:val="lrTb"/>
            <w:noWrap w:val="false"/>
          </w:tcPr>
          <w:p>
            <w:pPr>
              <w:pStyle w:val="766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Соблюдение требований пожарной безопасности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19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- Правилах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- №123-ФЗ от 22.07.2008 «Технический регламент о требованиях пожарной безопасности»;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- ГОСТ 12.1.004-91* Система стандартов безопасности труда. Пожарная безопасность. Общие требования.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При оказании услуг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contextualSpacing w:val="0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ff"/>
                <w:lang w:val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52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highlight w:val="white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336" w:type="dxa"/>
            <w:textDirection w:val="lrTb"/>
            <w:noWrap w:val="false"/>
          </w:tcPr>
          <w:p>
            <w:pPr>
              <w:pStyle w:val="766"/>
              <w:ind w:left="0" w:right="0" w:firstLine="0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1.2.3.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002" w:type="dxa"/>
            <w:textDirection w:val="lrTb"/>
            <w:noWrap w:val="false"/>
          </w:tcPr>
          <w:p>
            <w:pPr>
              <w:pStyle w:val="766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Соблюдение требований к охране окружающей среды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19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При выполнении всех услуг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Мероприятия и работы по охране окружающей среды вести в соответствии: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- Федеральный закон от 10.01.2002 № 7-ФЗ «Об охране окружающей среды» (ред. от 02.07.21);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- Федеральный закон от 04.05.1999 № 96-ФЗ «Об охране атмосферного воздуха» (ред. от 11.06.2021);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- Водный кодекс Российской Федерации;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-СП 34.13330.2012 «Автомобильные дороги. Актуализированная редакция СНиП 2.05.02-85*»;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-ОДН 218.5.016-2002 «Показатели и нормы экологической безопасности автомобильной дороги» - Распоряжение Минтранс РФ от 25.12.2020 №ИС-1147-р.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contextualSpacing w:val="0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ff"/>
                <w:lang w:val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52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336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1.2.4.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002" w:type="dxa"/>
            <w:textDirection w:val="lrTb"/>
            <w:noWrap w:val="false"/>
          </w:tcPr>
          <w:p>
            <w:pPr>
              <w:pStyle w:val="766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  <w:t xml:space="preserve">Соблюдение требований охраны труда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19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Меры по соблюдению требований охраны труда при оказании услуг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shd w:val="clear" w:color="auto" w:fill="ffffff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Правилах по охране труда при работе на высоте (утверждены приказом Министерства труда от 16.11.2020 №782н);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shd w:val="clear" w:color="auto" w:fill="ffffff"/>
                <w:lang w:val="ru-RU" w:bidi="ar-SA"/>
              </w:rPr>
      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25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ff"/>
                <w:lang w:val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ff"/>
                <w:lang w:val="ru-RU" w:bidi="ar-SA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52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highlight w:val="white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2336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853"/>
              <w:numPr>
                <w:ilvl w:val="0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Требования к результатам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2.1.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Общие требования к результатам услуг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Исполнитель обязан оказать услуги своими или привлеченными силами в объеме и сроки, предусмотренные техническим заданием, сметной документацией и сдать результат работ Заказчику.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Исполнитель должен подготовить и сдать Заказчику по акту в установленном порядке отчетную документацию, В комплект исполнительной документации входят: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 заключение о техническом состоянии генераторов;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 «Технический отчет по результатам комплексного обследования турбогенераторов» (в 2-х экземплярах) с рекомендациями по устранению выявленных дефектов;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 документально подтвержденная возможность дальнейшей эксплуатации, рекомендации по дальнейшей эксплуатации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2.2.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Требования к порядку приемки результатов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Требования к оформлению документации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-//-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2.3.1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34" w:type="dxa"/>
            <w:textDirection w:val="lrTb"/>
            <w:noWrap w:val="false"/>
          </w:tcPr>
          <w:p>
            <w:pPr>
              <w:pStyle w:val="766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highlight w:val="white"/>
                <w:lang w:val="ru-RU" w:bidi="ar-SA"/>
              </w:rPr>
              <w:t xml:space="preserve">Общие требования к оформлению документации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2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/>
                <w:caps w:val="0"/>
                <w:smallCaps w:val="0"/>
                <w:color w:val="000000"/>
                <w:spacing w:val="0"/>
                <w:sz w:val="22"/>
                <w:szCs w:val="22"/>
                <w:highlight w:val="white"/>
                <w:lang w:val="ru-RU" w:bidi="ar-SA"/>
              </w:rPr>
              <w:t xml:space="preserve">Отчет должен быть предоставлен в электронном виде (PDF) и, при необходимости, в печатном виде.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val="ru-RU" w:bidi="ar-SA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2.3.2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3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highlight w:val="white"/>
                <w:lang w:val="ru-RU" w:bidi="ar-SA"/>
              </w:rPr>
              <w:t xml:space="preserve">Состав документации включает в себя, но не ограничивается следующими документами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204" w:type="dxa"/>
            <w:textDirection w:val="lrTb"/>
            <w:noWrap w:val="false"/>
          </w:tcPr>
          <w:p>
            <w:pPr>
              <w:pStyle w:val="853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white"/>
                <w:lang w:val="ru-RU" w:bidi="ar-SA"/>
              </w:rPr>
              <w:t xml:space="preserve">Формат передаваемой в электронном виде документации: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white"/>
                <w:lang w:val="ru-RU" w:bidi="ar-SA"/>
              </w:rPr>
              <w:t xml:space="preserve">текстовая часть — docx (MS Word), pdf;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white"/>
                <w:lang w:val="ru-RU" w:bidi="ar-SA"/>
              </w:rPr>
              <w:t xml:space="preserve">графическая часть — dwg (AutoCAD), pdf;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white"/>
                <w:lang w:val="ru-RU" w:bidi="ar-SA"/>
              </w:rPr>
              <w:t xml:space="preserve">таблицы данных — docx (MS Word), xlsx (MS Excel);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white"/>
                <w:lang w:val="ru-RU" w:bidi="ar-SA"/>
              </w:rPr>
              <w:t xml:space="preserve">презентационные материалы — pptx (MS PowerPoint).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853"/>
              <w:numPr>
                <w:ilvl w:val="0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bidi="ar-SA"/>
              </w:rPr>
              <w:t xml:space="preserve">Требования к соблюдению положений нормативной и иной обязательной для Исполнителя документации, определяемой оказываемыми услугами (помимо указанных в других разделах ТТ)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val="ru-RU" w:bidi="ar-SA"/>
              </w:rPr>
              <w:t xml:space="preserve">одробно указаны в проекте Договора подряда в том числе в разделе №2, Техническом задании), который включен в состав Документации о закупке.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val="ru-RU" w:bidi="ar-SA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4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304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853"/>
              <w:numPr>
                <w:ilvl w:val="0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23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Требования к победителю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5553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9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top w:val="none" w:color="000000" w:sz="4" w:space="0"/>
            </w:tcBorders>
            <w:tcW w:w="13791" w:type="dxa"/>
            <w:textDirection w:val="lrTb"/>
            <w:noWrap w:val="false"/>
          </w:tcPr>
          <w:p>
            <w:pPr>
              <w:pStyle w:val="766"/>
              <w:ind w:left="0" w:right="0" w:firstLine="72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 закупочной процедуры, в течение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u w:val="single"/>
                <w:lang w:val="ru-RU" w:bidi="ar-SA"/>
              </w:rPr>
              <w:t xml:space="preserve">5 (пяти) рабочих дней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после размещения протокола подведения итогов закупки на сайте </w:t>
            </w:r>
            <w:hyperlink r:id="rId14" w:tooltip="http://www.zakupki.gov.ru/" w:history="1">
              <w:r>
                <w:rPr>
                  <w:rStyle w:val="811"/>
                  <w:rFonts w:ascii="Times New Roman" w:hAnsi="Times New Roman" w:eastAsia="Times New Roman" w:cs="Times New Roman"/>
                  <w:sz w:val="22"/>
                  <w:szCs w:val="22"/>
                  <w:lang w:val="ru-RU" w:bidi="ar-SA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 (до заключения договора), должен предоставить в адрес Заказчика на электронный адрес (Gavrilova-MSR@dgk.ru) дополнительные документы.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0" w:firstLine="72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3352"/>
        </w:trPr>
        <w:tc>
          <w:tcPr>
            <w:tcBorders>
              <w:top w:val="none" w:color="000000" w:sz="4" w:space="0"/>
              <w:right w:val="none" w:color="000000" w:sz="4" w:space="0"/>
            </w:tcBorders>
            <w:tcW w:w="728" w:type="dxa"/>
            <w:textDirection w:val="lrTb"/>
            <w:noWrap w:val="false"/>
          </w:tcPr>
          <w:p>
            <w:pPr>
              <w:pStyle w:val="766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top w:val="none" w:color="000000" w:sz="4" w:space="0"/>
              <w:right w:val="none" w:color="000000" w:sz="4" w:space="0"/>
            </w:tcBorders>
            <w:tcW w:w="8289" w:type="dxa"/>
            <w:textDirection w:val="lrTb"/>
            <w:noWrap w:val="false"/>
          </w:tcPr>
          <w:p>
            <w:pPr>
              <w:pStyle w:val="766"/>
              <w:ind w:left="0" w:right="141" w:firstLine="72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Победителя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66"/>
              <w:ind w:left="0" w:right="141" w:firstLine="72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1) Согласно Приказу Минтруда России от 15.12.2020 N 903н (ред. от 29.04.2025) "Об утверждении Правил по охране труда при эксплуатации электроустановок" (Зарегистрировано в Минюсте России 30.12.2020 N 61957):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6"/>
              </w:numPr>
              <w:ind w:right="141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иметь квалифицированный персонал не менее 3-х человек обладающих требуемым допуском по электробезопасности свыше 1000 В.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  <w:p>
            <w:pPr>
              <w:pStyle w:val="766"/>
              <w:ind w:left="0" w:firstLine="72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2) Согласно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п.92 Постановления правительства Российской федерации от 24.12.2021 г.№2464 «О порядке обучения по охране труда и проверки знаний требований охраны труда»: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53"/>
              <w:numPr>
                <w:ilvl w:val="0"/>
                <w:numId w:val="17"/>
              </w:numPr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ru-RU"/>
              </w:rPr>
              <w:t xml:space="preserve">меть в наличие не менее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3 человек (руководитель, производитель работ и всех членов бригады) прошедших проверку знаний требований охраны труда и имеющих допуск работы в электроустановках.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  <w:p>
            <w:pPr>
              <w:pStyle w:val="766"/>
              <w:ind w:left="0" w:right="141" w:firstLine="72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766"/>
              <w:ind w:left="0" w:right="141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</w:tcBorders>
            <w:tcW w:w="5553" w:type="dxa"/>
            <w:textDirection w:val="lrTb"/>
            <w:noWrap w:val="false"/>
          </w:tcPr>
          <w:p>
            <w:pPr>
              <w:pStyle w:val="766"/>
              <w:ind w:left="142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66"/>
              <w:numPr>
                <w:ilvl w:val="0"/>
                <w:numId w:val="18"/>
              </w:numPr>
              <w:ind w:right="141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Копиями квалификационных удостов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ерений установленного образца с соответствующей группой по электробезопасности: у ответственного руководителя работ - не менее V группы по электробезопасности, у производителя работ - не менее IV группы по электробезопасности, члены бригады не ниже III гр.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0"/>
                <w:numId w:val="18"/>
              </w:numPr>
              <w:ind w:right="141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опиями протокола (-ов) проверки знания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</w:tr>
    </w:tbl>
    <w:p>
      <w:pPr>
        <w:sectPr>
          <w:headerReference w:type="default" r:id="rId10"/>
          <w:headerReference w:type="first" r:id="rId11"/>
          <w:footnotePr/>
          <w:endnotePr/>
          <w:type w:val="nextPage"/>
          <w:pgSz w:w="16838" w:h="11906" w:orient="landscape"/>
          <w:pgMar w:top="993" w:right="1134" w:bottom="850" w:left="1134" w:header="426" w:footer="0" w:gutter="0"/>
          <w:cols w:num="1" w:sep="0" w:space="1701" w:equalWidth="1"/>
          <w:docGrid w:linePitch="360"/>
        </w:sectPr>
      </w:pPr>
      <w:r/>
      <w:r/>
    </w:p>
    <w:p>
      <w:pPr>
        <w:pStyle w:val="864"/>
        <w:jc w:val="center"/>
        <w:spacing w:before="0" w:after="0" w:line="250" w:lineRule="exact"/>
        <w:shd w:val="clear" w:color="auto" w:fill="auto"/>
        <w:tabs>
          <w:tab w:val="left" w:pos="368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Требования к документации по ценообразованию на этапе закупки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4"/>
        <w:ind w:left="-207" w:firstLine="0"/>
        <w:jc w:val="both"/>
        <w:spacing w:before="0" w:after="0" w:line="250" w:lineRule="exact"/>
        <w:shd w:val="clear" w:color="auto" w:fill="auto"/>
        <w:tabs>
          <w:tab w:val="left" w:pos="368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numPr>
          <w:ilvl w:val="0"/>
          <w:numId w:val="19"/>
        </w:numPr>
        <w:ind w:right="0" w:firstLine="720"/>
        <w:jc w:val="both"/>
        <w:spacing w:before="0" w:after="0" w:line="240" w:lineRule="auto"/>
        <w:shd w:val="clear" w:color="auto" w:fill="auto"/>
        <w:tabs>
          <w:tab w:val="left" w:pos="452" w:leader="none"/>
          <w:tab w:val="clear" w:pos="708" w:leader="none"/>
        </w:tabs>
        <w:rPr>
          <w:color w:val="000000" w:themeColor="text1"/>
        </w:rPr>
        <w:suppressLineNumbers w:val="0"/>
      </w:pPr>
      <w:r>
        <w:rPr>
          <w:sz w:val="24"/>
          <w:szCs w:val="24"/>
        </w:rPr>
        <w:t xml:space="preserve">3.1. В обоснование стоимости заявки, Участник должен предоставить «Коммерческое предложение» по форме, приведённой в До</w:t>
      </w:r>
      <w:r>
        <w:rPr>
          <w:color w:val="000000" w:themeColor="text1"/>
          <w:sz w:val="24"/>
          <w:szCs w:val="24"/>
        </w:rPr>
        <w:t xml:space="preserve">кументации о закупке.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63"/>
        <w:numPr>
          <w:ilvl w:val="0"/>
          <w:numId w:val="19"/>
        </w:numPr>
        <w:ind w:right="0" w:firstLine="720"/>
        <w:jc w:val="both"/>
        <w:spacing w:before="0" w:after="0" w:line="240" w:lineRule="auto"/>
        <w:shd w:val="clear" w:color="auto" w:fill="auto"/>
        <w:tabs>
          <w:tab w:val="left" w:pos="452" w:leader="none"/>
          <w:tab w:val="clear" w:pos="708" w:leader="none"/>
        </w:tabs>
        <w:rPr>
          <w:color w:val="000000" w:themeColor="text1"/>
        </w:rPr>
        <w:suppressLineNumbers w:val="0"/>
      </w:pPr>
      <w:r>
        <w:rPr>
          <w:color w:val="000000" w:themeColor="text1"/>
          <w:sz w:val="24"/>
          <w:szCs w:val="24"/>
        </w:rPr>
        <w:t xml:space="preserve">3.2. В составе предложения участник не предоставляет сметную документацию.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63"/>
        <w:ind w:right="0" w:firstLine="720"/>
        <w:jc w:val="center"/>
        <w:spacing w:before="0" w:after="0" w:line="240" w:lineRule="auto"/>
        <w:shd w:val="clear" w:color="auto" w:fill="auto"/>
        <w:tabs>
          <w:tab w:val="left" w:pos="452" w:leader="none"/>
          <w:tab w:val="clear" w:pos="708" w:leader="none"/>
        </w:tabs>
        <w:rPr>
          <w:color w:val="000000" w:themeColor="text1"/>
        </w:rPr>
        <w:suppressLineNumbers w:val="0"/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64"/>
        <w:numPr>
          <w:ilvl w:val="0"/>
          <w:numId w:val="19"/>
        </w:numPr>
        <w:jc w:val="both"/>
        <w:spacing w:before="0" w:after="210" w:line="220" w:lineRule="exact"/>
        <w:shd w:val="clear" w:color="auto" w:fill="auto"/>
        <w:tabs>
          <w:tab w:val="left" w:pos="368" w:leader="none"/>
          <w:tab w:val="clear" w:pos="708" w:leader="none"/>
        </w:tabs>
        <w:rPr>
          <w:color w:val="000000" w:themeColor="text1"/>
        </w:rPr>
      </w:pPr>
      <w:r>
        <w:rPr>
          <w:color w:val="000000" w:themeColor="text1"/>
          <w:sz w:val="24"/>
          <w:szCs w:val="24"/>
        </w:rPr>
        <w:t xml:space="preserve">4. Требования к документации по ценообразованию на этапе заключения (исполнения) договора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63"/>
        <w:numPr>
          <w:ilvl w:val="0"/>
          <w:numId w:val="19"/>
        </w:numPr>
        <w:ind w:firstLine="720"/>
        <w:jc w:val="both"/>
        <w:spacing w:before="0" w:after="0" w:line="240" w:lineRule="auto"/>
        <w:shd w:val="clear" w:color="auto" w:fill="auto"/>
        <w:rPr>
          <w:color w:val="000000" w:themeColor="text1"/>
        </w:rPr>
        <w:suppressLineNumbers w:val="0"/>
      </w:pPr>
      <w:r>
        <w:rPr>
          <w:color w:val="000000" w:themeColor="text1"/>
          <w:sz w:val="24"/>
          <w:szCs w:val="24"/>
        </w:rPr>
        <w:t xml:space="preserve">Разработка сметной документации/калькуляции осуществляется при заключении и исполнении договора в соответствии со следующими требованиями: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63"/>
        <w:numPr>
          <w:ilvl w:val="0"/>
          <w:numId w:val="19"/>
        </w:numPr>
        <w:ind w:firstLine="720"/>
        <w:jc w:val="both"/>
        <w:spacing w:before="0" w:after="0" w:line="240" w:lineRule="auto"/>
        <w:shd w:val="clear" w:color="auto" w:fill="auto"/>
        <w:tabs>
          <w:tab w:val="clear" w:pos="708" w:leader="none"/>
          <w:tab w:val="left" w:pos="908" w:leader="none"/>
        </w:tabs>
        <w:rPr>
          <w:color w:val="000000" w:themeColor="text1"/>
        </w:rPr>
        <w:suppressLineNumbers w:val="0"/>
      </w:pPr>
      <w:r>
        <w:rPr>
          <w:color w:val="000000" w:themeColor="text1"/>
          <w:sz w:val="24"/>
          <w:szCs w:val="24"/>
        </w:rPr>
        <w:t xml:space="preserve">на стадии заключения Договора Исполнитель представляет Сводный сметный расчет, локальные сметные расчеты (калькуляции), составленные на основании нормативных справочников и соответствующие итоговой сумме заявки.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63"/>
        <w:numPr>
          <w:ilvl w:val="0"/>
          <w:numId w:val="19"/>
        </w:numPr>
        <w:ind w:firstLine="720"/>
        <w:jc w:val="both"/>
        <w:spacing w:before="0" w:after="0" w:line="240" w:lineRule="auto"/>
        <w:shd w:val="clear" w:color="auto" w:fill="auto"/>
        <w:tabs>
          <w:tab w:val="clear" w:pos="708" w:leader="none"/>
          <w:tab w:val="left" w:pos="908" w:leader="none"/>
        </w:tabs>
        <w:rPr>
          <w:color w:val="000000" w:themeColor="text1"/>
        </w:rPr>
        <w:suppressLineNumbers w:val="0"/>
      </w:pPr>
      <w:r>
        <w:rPr>
          <w:color w:val="000000" w:themeColor="text1"/>
          <w:sz w:val="24"/>
          <w:szCs w:val="24"/>
        </w:rPr>
        <w:t xml:space="preserve">При определении затрат на основании Прейскуранта на экспериментально-наладочные работы фирмы ОРГРЭС базисно-индексным методом индекс перевода в текущие цены учитывать в размере к=158 без учета деноминации 1998 года ( к=0,158 с учетом деноминации).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63"/>
        <w:numPr>
          <w:ilvl w:val="0"/>
          <w:numId w:val="19"/>
        </w:numPr>
        <w:ind w:firstLine="720"/>
        <w:jc w:val="both"/>
        <w:spacing w:before="0" w:after="0" w:line="240" w:lineRule="auto"/>
        <w:shd w:val="clear" w:color="auto" w:fill="auto"/>
        <w:tabs>
          <w:tab w:val="clear" w:pos="708" w:leader="none"/>
          <w:tab w:val="left" w:pos="913" w:leader="none"/>
        </w:tabs>
        <w:rPr>
          <w:color w:val="000000" w:themeColor="text1"/>
        </w:rPr>
        <w:suppressLineNumbers w:val="0"/>
      </w:pPr>
      <w:r>
        <w:rPr>
          <w:color w:val="000000" w:themeColor="text1"/>
          <w:sz w:val="24"/>
          <w:szCs w:val="24"/>
        </w:rPr>
        <w:t xml:space="preserve">При отсутствии расценок в СБЦ допустимо определить стоимость услуг по форме ЗП (по трудозатратам) и предоставить Калькуляцию на весь объем услуг, указанных в Техническом </w:t>
      </w:r>
      <w:r>
        <w:rPr>
          <w:color w:val="000000" w:themeColor="text1"/>
          <w:sz w:val="24"/>
          <w:szCs w:val="24"/>
        </w:rPr>
        <w:t xml:space="preserve">задании, все предполагаемые затраты исполнителя, обязательные платежи, стоимость всех сопутствующих услуг (Методическое пособие по определению стоимости инженерных изысканий для строительства, введено в действие Письмом Госстроя России от 31 марта 2004 г. </w:t>
      </w:r>
      <w:r>
        <w:rPr>
          <w:color w:val="000000" w:themeColor="text1"/>
          <w:sz w:val="24"/>
          <w:szCs w:val="24"/>
          <w:lang w:val="en-US" w:eastAsia="en-US" w:bidi="en-US"/>
        </w:rPr>
        <w:t xml:space="preserve">N</w:t>
      </w:r>
      <w:r>
        <w:rPr>
          <w:color w:val="000000" w:themeColor="text1"/>
          <w:sz w:val="24"/>
          <w:szCs w:val="24"/>
          <w:lang w:eastAsia="en-US" w:bidi="en-US"/>
        </w:rPr>
        <w:t xml:space="preserve"> </w:t>
      </w:r>
      <w:r>
        <w:rPr>
          <w:color w:val="000000" w:themeColor="text1"/>
          <w:sz w:val="24"/>
          <w:szCs w:val="24"/>
        </w:rPr>
        <w:t xml:space="preserve">НЗ-2078/10) с приложением расчета за</w:t>
      </w:r>
      <w:r>
        <w:rPr>
          <w:color w:val="000000" w:themeColor="text1"/>
          <w:sz w:val="24"/>
          <w:szCs w:val="24"/>
        </w:rPr>
        <w:t xml:space="preserve">работной платы на основании установленных в Организации штатных окладов и в соответствии с Положением об оплате труда. Уровень заработной платы, накладных расходов и рентабельности должны быть подтверждены справкой, заверенной директором и гл. бухгалтером.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53"/>
        <w:ind w:left="0" w:firstLine="720"/>
        <w:jc w:val="both"/>
        <w:spacing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sz w:val="24"/>
          <w:szCs w:val="24"/>
          <w:highlight w:val="white"/>
        </w:rPr>
        <w:suppressLineNumbers w:val="0"/>
      </w:pPr>
      <w:r>
        <w:rPr>
          <w:color w:val="000000" w:themeColor="text1"/>
          <w:sz w:val="24"/>
          <w:szCs w:val="24"/>
        </w:rPr>
        <w:t xml:space="preserve">- Командировочные расходы в случае их учета в сметах или расчетах определяются по предварительному расчету с расшифровкой затрат на проезд, проживание, суточные расходы, при этом </w:t>
      </w:r>
      <w:r>
        <w:rPr>
          <w:color w:val="000000" w:themeColor="text1"/>
          <w:sz w:val="24"/>
          <w:szCs w:val="24"/>
        </w:rPr>
        <w:t xml:space="preserve">размер суточных не должен превышать 700 руб/сутки  . Заказчик имеет право в период действия Договора запросить у Подрядчика копии первичных документов, платёжных поручений, реестры и т.д. для проверки </w:t>
      </w:r>
      <w:r>
        <w:rPr>
          <w:sz w:val="24"/>
          <w:szCs w:val="24"/>
          <w:highlight w:val="white"/>
        </w:rPr>
        <w:t xml:space="preserve">соответствия суммы командировочных расходов фактическим затратам.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3"/>
        <w:ind w:left="0" w:firstLine="0"/>
        <w:jc w:val="center"/>
        <w:shd w:val="clear" w:color="auto" w:fill="ffffff"/>
        <w:tabs>
          <w:tab w:val="clear" w:pos="708" w:leader="none"/>
          <w:tab w:val="left" w:pos="709" w:leader="none"/>
        </w:tabs>
        <w:rPr>
          <w:b/>
          <w:bCs/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53"/>
        <w:ind w:left="0" w:firstLine="0"/>
        <w:jc w:val="center"/>
        <w:shd w:val="clear" w:color="auto" w:fill="ffffff"/>
        <w:tabs>
          <w:tab w:val="clear" w:pos="708" w:leader="none"/>
          <w:tab w:val="left" w:pos="709" w:leader="none"/>
        </w:tabs>
        <w:rPr>
          <w:highlight w:val="none"/>
        </w:rPr>
      </w:pPr>
      <w:r/>
      <w:bookmarkStart w:id="22" w:name="_Toc51339699"/>
      <w:r/>
      <w:bookmarkStart w:id="23" w:name="_Toc46743519"/>
      <w:r>
        <w:rPr>
          <w:b/>
          <w:bCs/>
          <w:iCs/>
          <w:sz w:val="24"/>
          <w:szCs w:val="24"/>
        </w:rPr>
        <w:t xml:space="preserve">5. Приложения</w:t>
      </w:r>
      <w:bookmarkEnd w:id="22"/>
      <w:r/>
      <w:bookmarkEnd w:id="23"/>
      <w:r/>
      <w:r>
        <w:rPr>
          <w:highlight w:val="none"/>
        </w:rPr>
      </w:r>
    </w:p>
    <w:p>
      <w:pPr>
        <w:pStyle w:val="766"/>
        <w:jc w:val="both"/>
        <w:spacing w:before="0"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66"/>
        <w:jc w:val="both"/>
        <w:spacing w:before="0"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1 - Ведомость объемов работ</w:t>
      </w:r>
      <w:r>
        <w:rPr>
          <w:sz w:val="24"/>
        </w:rPr>
        <w:t xml:space="preserve">;</w:t>
      </w:r>
      <w:r>
        <w:rPr>
          <w:bCs/>
          <w:sz w:val="24"/>
          <w:szCs w:val="24"/>
        </w:rPr>
      </w:r>
    </w:p>
    <w:p>
      <w:pPr>
        <w:pStyle w:val="853"/>
        <w:ind w:left="0" w:firstLine="0"/>
        <w:jc w:val="both"/>
        <w:spacing w:line="360" w:lineRule="auto"/>
        <w:shd w:val="clear" w:color="auto" w:fill="ffffff"/>
        <w:rPr>
          <w:highlight w:val="none"/>
        </w:rPr>
      </w:pPr>
      <w:r>
        <w:t xml:space="preserve">Приложение № 2 – </w:t>
      </w:r>
      <w:r>
        <w:rPr>
          <w:bCs/>
          <w:sz w:val="24"/>
          <w:szCs w:val="24"/>
        </w:rPr>
        <w:t xml:space="preserve">Локальные нормативные акты Заказчика</w:t>
      </w:r>
      <w:r>
        <w:rPr>
          <w:sz w:val="24"/>
        </w:rPr>
        <w:t xml:space="preserve">.</w:t>
      </w:r>
      <w:r>
        <w:rPr>
          <w:highlight w:val="none"/>
        </w:rPr>
      </w:r>
    </w:p>
    <w:p>
      <w:pPr>
        <w:pStyle w:val="766"/>
        <w:jc w:val="both"/>
        <w:spacing w:before="0" w:after="120" w:line="276" w:lineRule="auto"/>
        <w:rPr>
          <w:bCs/>
          <w:sz w:val="24"/>
          <w:szCs w:val="24"/>
        </w:rPr>
      </w:pPr>
      <w:r/>
      <w:r>
        <w:rPr>
          <w:bCs/>
          <w:sz w:val="24"/>
          <w:szCs w:val="24"/>
        </w:rPr>
      </w:r>
    </w:p>
    <w:sectPr>
      <w:headerReference w:type="default" r:id="rId12"/>
      <w:headerReference w:type="first" r:id="rId13"/>
      <w:footnotePr/>
      <w:endnotePr/>
      <w:type w:val="nextPage"/>
      <w:pgSz w:w="11906" w:h="16838" w:orient="portrait"/>
      <w:pgMar w:top="1134" w:right="851" w:bottom="680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 (???????? ?????">
    <w:panose1 w:val="02020603050405020304"/>
  </w:font>
  <w:font w:name="Calibri Light (Заголовки)">
    <w:panose1 w:val="020F0502020204030204"/>
  </w:font>
  <w:font w:name="Wingdings">
    <w:panose1 w:val="05010000000000000000"/>
  </w:font>
  <w:font w:name="Liberation Sans">
    <w:panose1 w:val="020B0604020202020204"/>
  </w:font>
  <w:font w:name="Courier New">
    <w:panose1 w:val="02070309020205020404"/>
  </w:font>
  <w:font w:name="OpenSymbol">
    <w:panose1 w:val="05010000000000000000"/>
  </w:font>
  <w:font w:name="Noto Sans CJK SC">
    <w:panose1 w:val="020B0502040504020204"/>
  </w:font>
  <w:font w:name="Tahoma">
    <w:panose1 w:val="020B060403050404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9"/>
      <w:jc w:val="center"/>
      <w:rPr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>
      <w:rPr>
        <w:sz w:val="24"/>
        <w:szCs w:val="24"/>
      </w:rPr>
    </w:r>
  </w:p>
  <w:p>
    <w:pPr>
      <w:pStyle w:val="84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9"/>
      <w:jc w:val="center"/>
      <w:rPr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17</w:t>
    </w:r>
    <w:r>
      <w:fldChar w:fldCharType="end"/>
    </w:r>
    <w:r>
      <w:rPr>
        <w:sz w:val="24"/>
        <w:szCs w:val="24"/>
      </w:rPr>
    </w:r>
  </w:p>
  <w:p>
    <w:pPr>
      <w:pStyle w:val="84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9"/>
      <w:jc w:val="center"/>
      <w:rPr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rPr>
        <w:sz w:val="24"/>
        <w:szCs w:val="24"/>
      </w:rPr>
    </w:r>
  </w:p>
  <w:p>
    <w:pPr>
      <w:pStyle w:val="849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numPr>
        <w:ilvl w:val="0"/>
        <w:numId w:val="14"/>
      </w:numPr>
      <w:ind w:firstLine="600"/>
      <w:jc w:val="both"/>
      <w:spacing w:before="0" w:after="494" w:line="312" w:lineRule="exact"/>
      <w:shd w:val="clear" w:color="auto" w:fill="auto"/>
    </w:pPr>
    <w:r>
      <w:rPr>
        <w:color w:val="000000" w:themeColor="text1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69"/>
      <w:isLgl w:val="false"/>
      <w:suff w:val="tab"/>
      <w:lvlText w:val="%1.%2.%3."/>
      <w:lvlJc w:val="left"/>
      <w:pPr>
        <w:ind w:left="1354" w:hanging="504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pStyle w:val="85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85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Courier New" w:hAnsi="Courier New" w:cs="Courier New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54" w:hanging="360"/>
        <w:tabs>
          <w:tab w:val="num" w:pos="0" w:leader="none"/>
        </w:tabs>
      </w:pPr>
      <w:rPr>
        <w:rFonts w:hint="default" w:ascii="Courier New" w:hAnsi="Courier New" w:cs="Courier New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8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6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67">
    <w:name w:val="Heading 1"/>
    <w:basedOn w:val="769"/>
    <w:next w:val="766"/>
    <w:link w:val="814"/>
    <w:qFormat/>
    <w:pPr>
      <w:numPr>
        <w:ilvl w:val="0"/>
      </w:numPr>
      <w:outlineLvl w:val="0"/>
    </w:pPr>
    <w:rPr>
      <w:sz w:val="28"/>
      <w:szCs w:val="28"/>
    </w:rPr>
  </w:style>
  <w:style w:type="paragraph" w:styleId="768">
    <w:name w:val="Heading 2"/>
    <w:basedOn w:val="766"/>
    <w:next w:val="766"/>
    <w:link w:val="79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9">
    <w:name w:val="Heading 3"/>
    <w:basedOn w:val="766"/>
    <w:next w:val="766"/>
    <w:link w:val="815"/>
    <w:qFormat/>
    <w:pPr>
      <w:numPr>
        <w:ilvl w:val="2"/>
        <w:numId w:val="1"/>
      </w:numPr>
      <w:ind w:left="1224" w:firstLine="0"/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70">
    <w:name w:val="Heading 4"/>
    <w:basedOn w:val="769"/>
    <w:next w:val="766"/>
    <w:link w:val="816"/>
    <w:qFormat/>
    <w:pPr>
      <w:numPr>
        <w:ilvl w:val="1"/>
      </w:numPr>
      <w:outlineLvl w:val="3"/>
    </w:pPr>
    <w:rPr>
      <w:bCs/>
    </w:rPr>
  </w:style>
  <w:style w:type="paragraph" w:styleId="771">
    <w:name w:val="Heading 5"/>
    <w:basedOn w:val="766"/>
    <w:next w:val="766"/>
    <w:link w:val="7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72">
    <w:name w:val="Heading 6"/>
    <w:basedOn w:val="766"/>
    <w:next w:val="766"/>
    <w:link w:val="7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3">
    <w:name w:val="Heading 7"/>
    <w:basedOn w:val="766"/>
    <w:next w:val="766"/>
    <w:link w:val="7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766"/>
    <w:next w:val="766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5">
    <w:name w:val="Heading 9"/>
    <w:basedOn w:val="766"/>
    <w:next w:val="766"/>
    <w:link w:val="7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6" w:default="1">
    <w:name w:val="Default Paragraph Font"/>
    <w:uiPriority w:val="1"/>
    <w:semiHidden/>
    <w:unhideWhenUsed/>
    <w:qFormat/>
  </w:style>
  <w:style w:type="character" w:styleId="777" w:customStyle="1">
    <w:name w:val="Heading 2 Char"/>
    <w:basedOn w:val="776"/>
    <w:uiPriority w:val="9"/>
    <w:qFormat/>
    <w:rPr>
      <w:rFonts w:ascii="Arial" w:hAnsi="Arial" w:eastAsia="Arial" w:cs="Arial"/>
      <w:sz w:val="34"/>
    </w:rPr>
  </w:style>
  <w:style w:type="character" w:styleId="778" w:customStyle="1">
    <w:name w:val="Heading 5 Char"/>
    <w:basedOn w:val="77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79" w:customStyle="1">
    <w:name w:val="Heading 6 Char"/>
    <w:basedOn w:val="77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0" w:customStyle="1">
    <w:name w:val="Heading 7 Char"/>
    <w:basedOn w:val="77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81" w:customStyle="1">
    <w:name w:val="Heading 8 Char"/>
    <w:basedOn w:val="77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82" w:customStyle="1">
    <w:name w:val="Heading 9 Char"/>
    <w:basedOn w:val="77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83" w:customStyle="1">
    <w:name w:val="Title Char"/>
    <w:basedOn w:val="776"/>
    <w:uiPriority w:val="10"/>
    <w:qFormat/>
    <w:rPr>
      <w:sz w:val="48"/>
      <w:szCs w:val="48"/>
    </w:rPr>
  </w:style>
  <w:style w:type="character" w:styleId="784" w:customStyle="1">
    <w:name w:val="Subtitle Char"/>
    <w:basedOn w:val="776"/>
    <w:uiPriority w:val="11"/>
    <w:qFormat/>
    <w:rPr>
      <w:sz w:val="24"/>
      <w:szCs w:val="24"/>
    </w:rPr>
  </w:style>
  <w:style w:type="character" w:styleId="785" w:customStyle="1">
    <w:name w:val="Quote Char"/>
    <w:uiPriority w:val="29"/>
    <w:qFormat/>
    <w:rPr>
      <w:i/>
    </w:rPr>
  </w:style>
  <w:style w:type="character" w:styleId="786" w:customStyle="1">
    <w:name w:val="Intense Quote Char"/>
    <w:uiPriority w:val="30"/>
    <w:qFormat/>
    <w:rPr>
      <w:i/>
    </w:rPr>
  </w:style>
  <w:style w:type="character" w:styleId="787" w:customStyle="1">
    <w:name w:val="Footnote Text Char"/>
    <w:uiPriority w:val="99"/>
    <w:qFormat/>
    <w:rPr>
      <w:sz w:val="18"/>
    </w:rPr>
  </w:style>
  <w:style w:type="character" w:styleId="788" w:customStyle="1">
    <w:name w:val="Endnote Text Char"/>
    <w:uiPriority w:val="99"/>
    <w:qFormat/>
    <w:rPr>
      <w:sz w:val="20"/>
    </w:rPr>
  </w:style>
  <w:style w:type="character" w:styleId="789" w:customStyle="1">
    <w:name w:val="Heading 1 Char"/>
    <w:basedOn w:val="776"/>
    <w:uiPriority w:val="9"/>
    <w:qFormat/>
    <w:rPr>
      <w:rFonts w:ascii="Arial" w:hAnsi="Arial" w:eastAsia="Arial" w:cs="Arial"/>
      <w:sz w:val="40"/>
      <w:szCs w:val="40"/>
    </w:rPr>
  </w:style>
  <w:style w:type="character" w:styleId="790" w:customStyle="1">
    <w:name w:val="Заголовок 2 Знак"/>
    <w:basedOn w:val="776"/>
    <w:uiPriority w:val="9"/>
    <w:qFormat/>
    <w:rPr>
      <w:rFonts w:ascii="Arial" w:hAnsi="Arial" w:eastAsia="Arial" w:cs="Arial"/>
      <w:sz w:val="34"/>
    </w:rPr>
  </w:style>
  <w:style w:type="character" w:styleId="791" w:customStyle="1">
    <w:name w:val="Heading 3 Char"/>
    <w:basedOn w:val="776"/>
    <w:uiPriority w:val="9"/>
    <w:qFormat/>
    <w:rPr>
      <w:rFonts w:ascii="Arial" w:hAnsi="Arial" w:eastAsia="Arial" w:cs="Arial"/>
      <w:sz w:val="30"/>
      <w:szCs w:val="30"/>
    </w:rPr>
  </w:style>
  <w:style w:type="character" w:styleId="792" w:customStyle="1">
    <w:name w:val="Heading 4 Char"/>
    <w:basedOn w:val="77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3" w:customStyle="1">
    <w:name w:val="Заголовок 5 Знак"/>
    <w:basedOn w:val="77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4" w:customStyle="1">
    <w:name w:val="Заголовок 6 Знак"/>
    <w:basedOn w:val="77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5" w:customStyle="1">
    <w:name w:val="Заголовок 7 Знак"/>
    <w:basedOn w:val="77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6" w:customStyle="1">
    <w:name w:val="Заголовок 8 Знак"/>
    <w:basedOn w:val="77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7" w:customStyle="1">
    <w:name w:val="Заголовок 9 Знак"/>
    <w:basedOn w:val="77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8" w:customStyle="1">
    <w:name w:val="Название Знак"/>
    <w:basedOn w:val="776"/>
    <w:uiPriority w:val="10"/>
    <w:qFormat/>
    <w:rPr>
      <w:sz w:val="48"/>
      <w:szCs w:val="48"/>
    </w:rPr>
  </w:style>
  <w:style w:type="character" w:styleId="799" w:customStyle="1">
    <w:name w:val="Подзаголовок Знак"/>
    <w:basedOn w:val="776"/>
    <w:uiPriority w:val="11"/>
    <w:qFormat/>
    <w:rPr>
      <w:sz w:val="24"/>
      <w:szCs w:val="24"/>
    </w:rPr>
  </w:style>
  <w:style w:type="character" w:styleId="800" w:customStyle="1">
    <w:name w:val="Цитата 2 Знак"/>
    <w:link w:val="832"/>
    <w:uiPriority w:val="29"/>
    <w:qFormat/>
    <w:rPr>
      <w:i/>
    </w:rPr>
  </w:style>
  <w:style w:type="character" w:styleId="801" w:customStyle="1">
    <w:name w:val="Выделенная цитата Знак"/>
    <w:link w:val="833"/>
    <w:uiPriority w:val="30"/>
    <w:qFormat/>
    <w:rPr>
      <w:i/>
    </w:rPr>
  </w:style>
  <w:style w:type="character" w:styleId="802" w:customStyle="1">
    <w:name w:val="Header Char"/>
    <w:basedOn w:val="776"/>
    <w:uiPriority w:val="99"/>
    <w:qFormat/>
  </w:style>
  <w:style w:type="character" w:styleId="803" w:customStyle="1">
    <w:name w:val="Footer Char"/>
    <w:basedOn w:val="776"/>
    <w:uiPriority w:val="99"/>
    <w:qFormat/>
  </w:style>
  <w:style w:type="character" w:styleId="804" w:customStyle="1">
    <w:name w:val="Caption Char"/>
    <w:uiPriority w:val="99"/>
    <w:qFormat/>
  </w:style>
  <w:style w:type="character" w:styleId="805" w:customStyle="1">
    <w:name w:val="Текст сноски Знак"/>
    <w:uiPriority w:val="99"/>
    <w:qFormat/>
    <w:rPr>
      <w:sz w:val="18"/>
    </w:rPr>
  </w:style>
  <w:style w:type="character" w:styleId="806">
    <w:name w:val="Символ сноски"/>
    <w:uiPriority w:val="99"/>
    <w:unhideWhenUsed/>
    <w:qFormat/>
    <w:rPr>
      <w:vertAlign w:val="superscript"/>
    </w:rPr>
  </w:style>
  <w:style w:type="character" w:styleId="807">
    <w:name w:val="footnote reference"/>
    <w:rPr>
      <w:vertAlign w:val="superscript"/>
    </w:rPr>
  </w:style>
  <w:style w:type="character" w:styleId="808" w:customStyle="1">
    <w:name w:val="Текст концевой сноски Знак"/>
    <w:uiPriority w:val="99"/>
    <w:qFormat/>
    <w:rPr>
      <w:sz w:val="20"/>
    </w:rPr>
  </w:style>
  <w:style w:type="character" w:styleId="80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10">
    <w:name w:val="endnote reference"/>
    <w:rPr>
      <w:vertAlign w:val="superscript"/>
    </w:rPr>
  </w:style>
  <w:style w:type="character" w:styleId="811">
    <w:name w:val="Hyperlink"/>
    <w:uiPriority w:val="99"/>
    <w:rPr>
      <w:color w:val="0000ff"/>
      <w:u w:val="single"/>
    </w:rPr>
  </w:style>
  <w:style w:type="character" w:styleId="812" w:customStyle="1">
    <w:name w:val="Верхний колонтитул Знак"/>
    <w:basedOn w:val="776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13" w:customStyle="1">
    <w:name w:val="Нижний колонтитул Знак"/>
    <w:basedOn w:val="776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14" w:customStyle="1">
    <w:name w:val="Заголовок 1 Знак"/>
    <w:basedOn w:val="776"/>
    <w:qFormat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815" w:customStyle="1">
    <w:name w:val="Заголовок 3 Знак"/>
    <w:basedOn w:val="776"/>
    <w:qFormat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816" w:customStyle="1">
    <w:name w:val="Заголовок 4 Знак"/>
    <w:basedOn w:val="776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17" w:customStyle="1">
    <w:name w:val="комментарий"/>
    <w:qFormat/>
    <w:rPr>
      <w:b/>
      <w:i/>
      <w:shd w:val="clear" w:color="auto" w:fill="ffff99"/>
    </w:rPr>
  </w:style>
  <w:style w:type="character" w:styleId="818" w:customStyle="1">
    <w:name w:val="Абзац списка Знак"/>
    <w:link w:val="853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819" w:customStyle="1">
    <w:name w:val="Текст примечания Знак"/>
    <w:basedOn w:val="776"/>
    <w:link w:val="856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0" w:customStyle="1">
    <w:name w:val="Текст выноски Знак"/>
    <w:basedOn w:val="776"/>
    <w:link w:val="857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21">
    <w:name w:val="Ссылка указателя"/>
    <w:qFormat/>
  </w:style>
  <w:style w:type="character" w:styleId="822">
    <w:name w:val="Маркеры"/>
    <w:qFormat/>
    <w:rPr>
      <w:rFonts w:ascii="OpenSymbol" w:hAnsi="OpenSymbol" w:eastAsia="OpenSymbol" w:cs="OpenSymbol"/>
    </w:rPr>
  </w:style>
  <w:style w:type="character" w:styleId="823">
    <w:name w:val="Strong"/>
    <w:qFormat/>
    <w:rPr>
      <w:b/>
      <w:bCs/>
    </w:rPr>
  </w:style>
  <w:style w:type="paragraph" w:styleId="824">
    <w:name w:val="Заголовок"/>
    <w:basedOn w:val="766"/>
    <w:next w:val="825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25">
    <w:name w:val="Body Text"/>
    <w:basedOn w:val="766"/>
    <w:pPr>
      <w:spacing w:before="0" w:after="140" w:line="276" w:lineRule="auto"/>
    </w:pPr>
  </w:style>
  <w:style w:type="paragraph" w:styleId="826">
    <w:name w:val="List"/>
    <w:basedOn w:val="825"/>
    <w:rPr>
      <w:rFonts w:cs="Arial Unicode MS"/>
    </w:rPr>
  </w:style>
  <w:style w:type="paragraph" w:styleId="827">
    <w:name w:val="Caption"/>
    <w:basedOn w:val="766"/>
    <w:next w:val="766"/>
    <w:link w:val="80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828">
    <w:name w:val="Указатель"/>
    <w:basedOn w:val="766"/>
    <w:qFormat/>
    <w:pPr>
      <w:suppressLineNumbers/>
    </w:pPr>
    <w:rPr>
      <w:rFonts w:cs="Arial Unicode MS"/>
    </w:rPr>
  </w:style>
  <w:style w:type="paragraph" w:styleId="829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30">
    <w:name w:val="Title"/>
    <w:basedOn w:val="766"/>
    <w:next w:val="766"/>
    <w:link w:val="79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1">
    <w:name w:val="Subtitle"/>
    <w:basedOn w:val="766"/>
    <w:next w:val="766"/>
    <w:link w:val="799"/>
    <w:uiPriority w:val="11"/>
    <w:qFormat/>
    <w:pPr>
      <w:spacing w:before="200" w:after="200"/>
    </w:pPr>
    <w:rPr>
      <w:sz w:val="24"/>
      <w:szCs w:val="24"/>
    </w:rPr>
  </w:style>
  <w:style w:type="paragraph" w:styleId="832">
    <w:name w:val="Quote"/>
    <w:basedOn w:val="766"/>
    <w:next w:val="766"/>
    <w:link w:val="800"/>
    <w:uiPriority w:val="29"/>
    <w:qFormat/>
    <w:pPr>
      <w:ind w:left="720" w:right="720" w:firstLine="0"/>
    </w:pPr>
    <w:rPr>
      <w:i/>
    </w:rPr>
  </w:style>
  <w:style w:type="paragraph" w:styleId="833">
    <w:name w:val="Intense Quote"/>
    <w:basedOn w:val="766"/>
    <w:next w:val="766"/>
    <w:link w:val="801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34">
    <w:name w:val="footnote text"/>
    <w:basedOn w:val="766"/>
    <w:link w:val="805"/>
    <w:uiPriority w:val="99"/>
    <w:semiHidden/>
    <w:unhideWhenUsed/>
    <w:pPr>
      <w:spacing w:before="0" w:after="40"/>
    </w:pPr>
    <w:rPr>
      <w:sz w:val="18"/>
    </w:rPr>
  </w:style>
  <w:style w:type="paragraph" w:styleId="835">
    <w:name w:val="endnote text"/>
    <w:basedOn w:val="766"/>
    <w:link w:val="808"/>
    <w:uiPriority w:val="99"/>
    <w:semiHidden/>
    <w:unhideWhenUsed/>
    <w:rPr>
      <w:sz w:val="20"/>
    </w:rPr>
  </w:style>
  <w:style w:type="paragraph" w:styleId="836">
    <w:name w:val="toc 2"/>
    <w:basedOn w:val="766"/>
    <w:next w:val="766"/>
    <w:uiPriority w:val="39"/>
    <w:unhideWhenUsed/>
    <w:pPr>
      <w:ind w:left="283" w:firstLine="0"/>
      <w:spacing w:before="0" w:after="57"/>
    </w:pPr>
  </w:style>
  <w:style w:type="paragraph" w:styleId="837">
    <w:name w:val="toc 3"/>
    <w:basedOn w:val="766"/>
    <w:next w:val="766"/>
    <w:uiPriority w:val="39"/>
    <w:unhideWhenUsed/>
    <w:pPr>
      <w:ind w:left="567" w:firstLine="0"/>
      <w:spacing w:before="0" w:after="57"/>
    </w:pPr>
  </w:style>
  <w:style w:type="paragraph" w:styleId="838">
    <w:name w:val="toc 5"/>
    <w:basedOn w:val="766"/>
    <w:next w:val="766"/>
    <w:uiPriority w:val="39"/>
    <w:unhideWhenUsed/>
    <w:pPr>
      <w:ind w:left="1134" w:firstLine="0"/>
      <w:spacing w:before="0" w:after="57"/>
    </w:pPr>
  </w:style>
  <w:style w:type="paragraph" w:styleId="839">
    <w:name w:val="toc 6"/>
    <w:basedOn w:val="766"/>
    <w:next w:val="766"/>
    <w:uiPriority w:val="39"/>
    <w:unhideWhenUsed/>
    <w:pPr>
      <w:ind w:left="1417" w:firstLine="0"/>
      <w:spacing w:before="0" w:after="57"/>
    </w:pPr>
  </w:style>
  <w:style w:type="paragraph" w:styleId="840">
    <w:name w:val="toc 7"/>
    <w:basedOn w:val="766"/>
    <w:next w:val="766"/>
    <w:uiPriority w:val="39"/>
    <w:unhideWhenUsed/>
    <w:pPr>
      <w:ind w:left="1701" w:firstLine="0"/>
      <w:spacing w:before="0" w:after="57"/>
    </w:pPr>
  </w:style>
  <w:style w:type="paragraph" w:styleId="841">
    <w:name w:val="toc 8"/>
    <w:basedOn w:val="766"/>
    <w:next w:val="766"/>
    <w:uiPriority w:val="39"/>
    <w:unhideWhenUsed/>
    <w:pPr>
      <w:ind w:left="1984" w:firstLine="0"/>
      <w:spacing w:before="0" w:after="57"/>
    </w:pPr>
  </w:style>
  <w:style w:type="paragraph" w:styleId="842">
    <w:name w:val="toc 9"/>
    <w:basedOn w:val="766"/>
    <w:next w:val="766"/>
    <w:uiPriority w:val="39"/>
    <w:unhideWhenUsed/>
    <w:pPr>
      <w:ind w:left="2268" w:firstLine="0"/>
      <w:spacing w:before="0" w:after="57"/>
    </w:pPr>
  </w:style>
  <w:style w:type="paragraph" w:styleId="843">
    <w:name w:val="Index Heading"/>
    <w:basedOn w:val="824"/>
  </w:style>
  <w:style w:type="paragraph" w:styleId="844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45">
    <w:name w:val="table of figures"/>
    <w:basedOn w:val="766"/>
    <w:next w:val="766"/>
    <w:uiPriority w:val="99"/>
    <w:unhideWhenUsed/>
    <w:qFormat/>
  </w:style>
  <w:style w:type="paragraph" w:styleId="846">
    <w:name w:val="toc 1"/>
    <w:basedOn w:val="766"/>
    <w:next w:val="766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847">
    <w:name w:val="toc 4"/>
    <w:basedOn w:val="766"/>
    <w:next w:val="766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848">
    <w:name w:val="Колонтитул"/>
    <w:basedOn w:val="766"/>
    <w:qFormat/>
  </w:style>
  <w:style w:type="paragraph" w:styleId="849">
    <w:name w:val="Header"/>
    <w:basedOn w:val="766"/>
    <w:link w:val="812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50">
    <w:name w:val="Footer"/>
    <w:basedOn w:val="766"/>
    <w:link w:val="813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51" w:customStyle="1">
    <w:name w:val="Раздел положения"/>
    <w:basedOn w:val="766"/>
    <w:qFormat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852" w:customStyle="1">
    <w:name w:val="Подраздел раздела положения"/>
    <w:basedOn w:val="766"/>
    <w:qFormat/>
    <w:pPr>
      <w:numPr>
        <w:ilvl w:val="1"/>
        <w:numId w:val="2"/>
      </w:numPr>
      <w:jc w:val="both"/>
      <w:spacing w:before="80" w:after="80"/>
    </w:pPr>
  </w:style>
  <w:style w:type="paragraph" w:styleId="853">
    <w:name w:val="List Paragraph"/>
    <w:basedOn w:val="766"/>
    <w:link w:val="818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854" w:customStyle="1">
    <w:name w:val="Таблица шапка"/>
    <w:basedOn w:val="766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55" w:customStyle="1">
    <w:name w:val="Таблица"/>
    <w:basedOn w:val="76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56">
    <w:name w:val="annotation text"/>
    <w:basedOn w:val="766"/>
    <w:link w:val="819"/>
    <w:semiHidden/>
    <w:qFormat/>
    <w:rPr>
      <w:sz w:val="20"/>
      <w:szCs w:val="20"/>
    </w:rPr>
  </w:style>
  <w:style w:type="paragraph" w:styleId="857">
    <w:name w:val="Balloon Text"/>
    <w:basedOn w:val="766"/>
    <w:link w:val="82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58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basedOn w:val="770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859" w:customStyle="1">
    <w:name w:val="[РГ] Текст"/>
    <w:qFormat/>
    <w:pPr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  <w:lang w:val="ru-RU" w:eastAsia="en-US" w:bidi="ar-SA"/>
      <w14:ligatures w14:val="none"/>
    </w:rPr>
  </w:style>
  <w:style w:type="paragraph" w:styleId="860" w:customStyle="1">
    <w:name w:val="Normal (Web)"/>
    <w:uiPriority w:val="99"/>
    <w:unhideWhenUsed/>
    <w:qFormat/>
    <w:pPr>
      <w:ind w:left="0" w:right="0" w:firstLine="0"/>
      <w:jc w:val="left"/>
      <w:keepLines w:val="0"/>
      <w:keepNext w:val="0"/>
      <w:pageBreakBefore w:val="0"/>
      <w:spacing w:beforeAutospacing="1" w:afterAutospacing="1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861">
    <w:name w:val="Содержимое таблицы"/>
    <w:basedOn w:val="766"/>
    <w:qFormat/>
    <w:pPr>
      <w:widowControl w:val="off"/>
      <w:suppressLineNumbers/>
    </w:pPr>
  </w:style>
  <w:style w:type="paragraph" w:styleId="862">
    <w:name w:val="Заголовок таблицы"/>
    <w:basedOn w:val="861"/>
    <w:qFormat/>
    <w:pPr>
      <w:jc w:val="center"/>
      <w:suppressLineNumbers/>
    </w:pPr>
    <w:rPr>
      <w:b/>
      <w:bCs/>
    </w:rPr>
  </w:style>
  <w:style w:type="paragraph" w:styleId="863">
    <w:name w:val="Основной текст (2)"/>
    <w:basedOn w:val="766"/>
    <w:qFormat/>
    <w:pPr>
      <w:jc w:val="center"/>
      <w:spacing w:before="180" w:after="0" w:line="0" w:lineRule="atLeast"/>
      <w:shd w:val="clear" w:color="auto" w:fill="ffffff"/>
    </w:pPr>
    <w:rPr>
      <w:sz w:val="22"/>
      <w:szCs w:val="22"/>
    </w:rPr>
  </w:style>
  <w:style w:type="paragraph" w:styleId="864">
    <w:name w:val="Основной текст (4)"/>
    <w:basedOn w:val="766"/>
    <w:qFormat/>
    <w:pPr>
      <w:jc w:val="center"/>
      <w:spacing w:before="0" w:after="180" w:line="0" w:lineRule="atLeast"/>
      <w:shd w:val="clear" w:color="auto" w:fill="ffffff"/>
    </w:pPr>
    <w:rPr>
      <w:b/>
      <w:bCs/>
      <w:sz w:val="22"/>
      <w:szCs w:val="22"/>
    </w:rPr>
  </w:style>
  <w:style w:type="numbering" w:styleId="865" w:default="1">
    <w:name w:val="No List"/>
    <w:uiPriority w:val="99"/>
    <w:semiHidden/>
    <w:unhideWhenUsed/>
    <w:qFormat/>
  </w:style>
  <w:style w:type="table" w:styleId="86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7" w:customStyle="1">
    <w:name w:val="Table Grid Light"/>
    <w:basedOn w:val="8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8" w:customStyle="1">
    <w:name w:val="Plain Table 1"/>
    <w:basedOn w:val="8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69" w:customStyle="1">
    <w:name w:val="Plain Table 2"/>
    <w:basedOn w:val="86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70" w:customStyle="1">
    <w:name w:val="Plain Table 3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1" w:customStyle="1">
    <w:name w:val="Plain Table 4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Plain Table 5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1 Light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Grid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Grid Table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2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2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3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3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4"/>
    <w:basedOn w:val="8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5" w:customStyle="1">
    <w:name w:val="Grid Table 4 - Accent 1"/>
    <w:basedOn w:val="8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896" w:customStyle="1">
    <w:name w:val="Grid Table 4 - Accent 2"/>
    <w:basedOn w:val="8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897" w:customStyle="1">
    <w:name w:val="Grid Table 4 - Accent 3"/>
    <w:basedOn w:val="8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898" w:customStyle="1">
    <w:name w:val="Grid Table 4 - Accent 4"/>
    <w:basedOn w:val="8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899" w:customStyle="1">
    <w:name w:val="Grid Table 4 - Accent 5"/>
    <w:basedOn w:val="8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00" w:customStyle="1">
    <w:name w:val="Grid Table 4 - Accent 6"/>
    <w:basedOn w:val="8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01" w:customStyle="1">
    <w:name w:val="Grid Table 5 Dark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06" w:customStyle="1">
    <w:name w:val="Grid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08" w:customStyle="1">
    <w:name w:val="Grid Table 6 Colorful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9" w:customStyle="1">
    <w:name w:val="Grid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10" w:customStyle="1">
    <w:name w:val="Grid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11" w:customStyle="1">
    <w:name w:val="Grid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12" w:customStyle="1">
    <w:name w:val="Grid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13" w:customStyle="1">
    <w:name w:val="Grid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14" w:customStyle="1">
    <w:name w:val="Grid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15" w:customStyle="1">
    <w:name w:val="Grid Table 7 Colorful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1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2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3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4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1 Light - Accent 5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1 Light - Accent 6"/>
    <w:basedOn w:val="8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30" w:customStyle="1">
    <w:name w:val="List Table 2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931" w:customStyle="1">
    <w:name w:val="List Table 2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932" w:customStyle="1">
    <w:name w:val="List Table 2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933" w:customStyle="1">
    <w:name w:val="List Table 2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934" w:customStyle="1">
    <w:name w:val="List Table 2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935" w:customStyle="1">
    <w:name w:val="List Table 2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36" w:customStyle="1">
    <w:name w:val="List Table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3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3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4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4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5 Dark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1" w:customStyle="1">
    <w:name w:val="List Table 5 Dark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2" w:customStyle="1">
    <w:name w:val="List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3" w:customStyle="1">
    <w:name w:val="List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4" w:customStyle="1">
    <w:name w:val="List Table 5 Dark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5" w:customStyle="1">
    <w:name w:val="List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6" w:customStyle="1">
    <w:name w:val="List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7" w:customStyle="1">
    <w:name w:val="List Table 6 Colorful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58" w:customStyle="1">
    <w:name w:val="List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59" w:customStyle="1">
    <w:name w:val="List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960" w:customStyle="1">
    <w:name w:val="List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961" w:customStyle="1">
    <w:name w:val="List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962" w:customStyle="1">
    <w:name w:val="List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963" w:customStyle="1">
    <w:name w:val="List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964" w:customStyle="1">
    <w:name w:val="List Table 7 Colorful"/>
    <w:basedOn w:val="8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ned - Accent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72" w:customStyle="1">
    <w:name w:val="Lined - Accent 1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73" w:customStyle="1">
    <w:name w:val="Lined - Accent 2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74" w:customStyle="1">
    <w:name w:val="Lined - Accent 3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75" w:customStyle="1">
    <w:name w:val="Lined - Accent 4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76" w:customStyle="1">
    <w:name w:val="Lined - Accent 5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77" w:customStyle="1">
    <w:name w:val="Lined - Accent 6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78" w:customStyle="1">
    <w:name w:val="Bordered &amp; Lined - Accent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79" w:customStyle="1">
    <w:name w:val="Bordered &amp; Lined - Accent 1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80" w:customStyle="1">
    <w:name w:val="Bordered &amp; Lined - Accent 2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81" w:customStyle="1">
    <w:name w:val="Bordered &amp; Lined - Accent 3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82" w:customStyle="1">
    <w:name w:val="Bordered &amp; Lined - Accent 4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83" w:customStyle="1">
    <w:name w:val="Bordered &amp; Lined - Accent 5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84" w:customStyle="1">
    <w:name w:val="Bordered &amp; Lined - Accent 6"/>
    <w:basedOn w:val="8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85" w:customStyle="1">
    <w:name w:val="Bordered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86" w:customStyle="1">
    <w:name w:val="Bordered - Accent 1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87" w:customStyle="1">
    <w:name w:val="Bordered - Accent 2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988" w:customStyle="1">
    <w:name w:val="Bordered - Accent 3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989" w:customStyle="1">
    <w:name w:val="Bordered - Accent 4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990" w:customStyle="1">
    <w:name w:val="Bordered - Accent 5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991" w:customStyle="1">
    <w:name w:val="Bordered - Accent 6"/>
    <w:basedOn w:val="8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992">
    <w:name w:val="Table Grid"/>
    <w:basedOn w:val="866"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yperlink" Target="http://www.zakupki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Коломин Олег Станиславович</dc:creator>
  <dc:description/>
  <dc:language>ru-RU</dc:language>
  <cp:lastModifiedBy>lutfullina_ee</cp:lastModifiedBy>
  <cp:revision>159</cp:revision>
  <dcterms:created xsi:type="dcterms:W3CDTF">2023-01-10T06:58:00Z</dcterms:created>
  <dcterms:modified xsi:type="dcterms:W3CDTF">2026-05-15T00:40:01Z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